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eastAsiaTheme="majorEastAsia"/>
          <w:sz w:val="36"/>
          <w:szCs w:val="36"/>
        </w:rPr>
      </w:pPr>
      <w:r>
        <w:rPr>
          <w:rFonts w:hint="eastAsia" w:ascii="Times New Roman" w:hAnsi="Times New Roman" w:cs="Times New Roman" w:eastAsiaTheme="majorEastAsia"/>
          <w:sz w:val="36"/>
          <w:szCs w:val="36"/>
        </w:rPr>
        <w:t>202</w:t>
      </w:r>
      <w:r>
        <w:rPr>
          <w:rFonts w:hint="eastAsia" w:ascii="Times New Roman" w:hAnsi="Times New Roman" w:cs="Times New Roman" w:eastAsiaTheme="majorEastAsia"/>
          <w:sz w:val="36"/>
          <w:szCs w:val="36"/>
          <w:lang w:val="en-US" w:eastAsia="zh-CN"/>
        </w:rPr>
        <w:t>2</w:t>
      </w:r>
      <w:r>
        <w:rPr>
          <w:rFonts w:hint="eastAsia" w:ascii="Times New Roman" w:hAnsi="Times New Roman" w:cs="Times New Roman" w:eastAsiaTheme="majorEastAsia"/>
          <w:sz w:val="36"/>
          <w:szCs w:val="36"/>
        </w:rPr>
        <w:t>年度</w:t>
      </w:r>
      <w:r>
        <w:rPr>
          <w:rFonts w:hint="eastAsia" w:ascii="Times New Roman" w:hAnsi="Times New Roman" w:cs="Times New Roman" w:eastAsiaTheme="majorEastAsia"/>
          <w:sz w:val="36"/>
          <w:szCs w:val="36"/>
          <w:lang w:eastAsia="zh-CN"/>
        </w:rPr>
        <w:t>园林绿化城市维护资金项目</w:t>
      </w:r>
      <w:r>
        <w:rPr>
          <w:rFonts w:ascii="Times New Roman" w:hAnsi="Times New Roman" w:cs="Times New Roman" w:eastAsiaTheme="majorEastAsia"/>
          <w:sz w:val="36"/>
          <w:szCs w:val="36"/>
        </w:rPr>
        <w:t>自评结果</w:t>
      </w:r>
    </w:p>
    <w:p>
      <w:pPr>
        <w:pStyle w:val="9"/>
        <w:shd w:val="clear" w:color="auto" w:fill="FFFFFF" w:themeFill="background1"/>
        <w:spacing w:line="560" w:lineRule="exact"/>
        <w:ind w:firstLine="0" w:firstLineChars="0"/>
        <w:jc w:val="center"/>
        <w:outlineLvl w:val="9"/>
      </w:pPr>
      <w:r>
        <w:rPr>
          <w:rFonts w:hint="eastAsia" w:ascii="楷体" w:hAnsi="楷体" w:eastAsia="楷体" w:cs="楷体"/>
          <w:b/>
          <w:sz w:val="32"/>
        </w:rPr>
        <w:t>（缩略版）</w:t>
      </w:r>
    </w:p>
    <w:p>
      <w:pPr>
        <w:widowControl/>
        <w:spacing w:line="560" w:lineRule="exact"/>
        <w:ind w:firstLine="643" w:firstLineChars="200"/>
        <w:outlineLvl w:val="0"/>
        <w:rPr>
          <w:rFonts w:eastAsia="宋体"/>
          <w:b/>
          <w:bCs/>
          <w:color w:val="000000"/>
          <w:kern w:val="0"/>
          <w:sz w:val="32"/>
          <w:szCs w:val="32"/>
        </w:rPr>
      </w:pPr>
      <w:r>
        <w:rPr>
          <w:rFonts w:eastAsia="黑体"/>
          <w:b/>
          <w:bCs/>
          <w:color w:val="000000"/>
          <w:kern w:val="0"/>
          <w:sz w:val="32"/>
          <w:szCs w:val="32"/>
        </w:rPr>
        <w:t>一、自评结论</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（一）自评得分</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2022年度园林绿化城市维护资金项目</w:t>
      </w:r>
      <w:r>
        <w:rPr>
          <w:rFonts w:hint="eastAsia" w:ascii="仿宋" w:hAnsi="仿宋" w:eastAsia="仿宋" w:cs="仿宋"/>
          <w:sz w:val="32"/>
          <w:szCs w:val="32"/>
        </w:rPr>
        <w:t>绩效评价综合得分为</w:t>
      </w:r>
      <w:r>
        <w:rPr>
          <w:rFonts w:hint="eastAsia" w:ascii="仿宋" w:hAnsi="仿宋" w:eastAsia="仿宋" w:cs="仿宋"/>
          <w:sz w:val="32"/>
          <w:szCs w:val="32"/>
          <w:lang w:val="en-US" w:eastAsia="zh-CN"/>
        </w:rPr>
        <w:t>97.5</w:t>
      </w:r>
      <w:r>
        <w:rPr>
          <w:rFonts w:hint="eastAsia" w:ascii="仿宋" w:hAnsi="仿宋" w:eastAsia="仿宋" w:cs="仿宋"/>
          <w:sz w:val="32"/>
          <w:szCs w:val="32"/>
        </w:rPr>
        <w:t>分。</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（二）绩效目标完成情况</w:t>
      </w:r>
    </w:p>
    <w:p>
      <w:pPr>
        <w:widowControl/>
        <w:spacing w:line="560" w:lineRule="exact"/>
        <w:ind w:firstLine="640" w:firstLineChars="200"/>
        <w:rPr>
          <w:rFonts w:eastAsia="仿宋"/>
          <w:sz w:val="32"/>
          <w:szCs w:val="32"/>
        </w:rPr>
      </w:pPr>
      <w:r>
        <w:rPr>
          <w:rFonts w:eastAsia="仿宋"/>
          <w:sz w:val="32"/>
          <w:szCs w:val="32"/>
        </w:rPr>
        <w:t>1.执行率情况。本项目预算总额</w:t>
      </w:r>
      <w:r>
        <w:rPr>
          <w:rFonts w:hint="eastAsia" w:eastAsia="仿宋"/>
          <w:sz w:val="32"/>
          <w:szCs w:val="32"/>
          <w:lang w:eastAsia="zh-CN"/>
        </w:rPr>
        <w:t>15,736.45</w:t>
      </w:r>
      <w:r>
        <w:rPr>
          <w:rFonts w:eastAsia="仿宋"/>
          <w:sz w:val="32"/>
          <w:szCs w:val="32"/>
        </w:rPr>
        <w:t>万元，执行数</w:t>
      </w:r>
      <w:r>
        <w:rPr>
          <w:rFonts w:hint="eastAsia" w:eastAsia="仿宋"/>
          <w:sz w:val="32"/>
          <w:szCs w:val="32"/>
          <w:lang w:eastAsia="zh-CN"/>
        </w:rPr>
        <w:t>13,795.09</w:t>
      </w:r>
      <w:r>
        <w:rPr>
          <w:rFonts w:eastAsia="仿宋"/>
          <w:sz w:val="32"/>
          <w:szCs w:val="32"/>
        </w:rPr>
        <w:t>万元，预算执行率</w:t>
      </w:r>
      <w:r>
        <w:rPr>
          <w:rFonts w:hint="eastAsia" w:eastAsia="仿宋"/>
          <w:sz w:val="32"/>
          <w:szCs w:val="32"/>
          <w:lang w:eastAsia="zh-CN"/>
        </w:rPr>
        <w:t>87.66</w:t>
      </w:r>
      <w:r>
        <w:rPr>
          <w:rFonts w:hint="eastAsia" w:eastAsia="仿宋"/>
          <w:sz w:val="32"/>
          <w:szCs w:val="32"/>
        </w:rPr>
        <w:t>%</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2.完成的绩效目标。项</w:t>
      </w:r>
      <w:r>
        <w:rPr>
          <w:rFonts w:eastAsia="仿宋"/>
          <w:color w:val="auto"/>
          <w:sz w:val="32"/>
          <w:szCs w:val="32"/>
        </w:rPr>
        <w:t>目共设置</w:t>
      </w:r>
      <w:r>
        <w:rPr>
          <w:rFonts w:hint="eastAsia" w:eastAsia="仿宋"/>
          <w:color w:val="auto"/>
          <w:sz w:val="32"/>
          <w:szCs w:val="32"/>
          <w:lang w:val="en-US" w:eastAsia="zh-CN"/>
        </w:rPr>
        <w:t>18</w:t>
      </w:r>
      <w:r>
        <w:rPr>
          <w:rFonts w:eastAsia="仿宋"/>
          <w:color w:val="auto"/>
          <w:sz w:val="32"/>
          <w:szCs w:val="32"/>
        </w:rPr>
        <w:t>个绩效指标，完成了</w:t>
      </w:r>
      <w:r>
        <w:rPr>
          <w:rFonts w:hint="eastAsia" w:eastAsia="仿宋"/>
          <w:color w:val="auto"/>
          <w:sz w:val="32"/>
          <w:szCs w:val="32"/>
          <w:lang w:val="en-US" w:eastAsia="zh-CN"/>
        </w:rPr>
        <w:t>18</w:t>
      </w:r>
      <w:r>
        <w:rPr>
          <w:rFonts w:eastAsia="仿宋"/>
          <w:sz w:val="32"/>
          <w:szCs w:val="32"/>
        </w:rPr>
        <w:t>个。</w:t>
      </w:r>
      <w:r>
        <w:rPr>
          <w:rFonts w:hint="eastAsia" w:eastAsia="仿宋"/>
          <w:sz w:val="32"/>
          <w:szCs w:val="32"/>
        </w:rPr>
        <w:t>资金使用较为规范，项目产出较好，并取得了较好的社会效益。</w:t>
      </w:r>
    </w:p>
    <w:p>
      <w:pPr>
        <w:widowControl/>
        <w:spacing w:line="560" w:lineRule="exact"/>
        <w:ind w:firstLine="640" w:firstLineChars="200"/>
        <w:rPr>
          <w:rFonts w:eastAsia="仿宋"/>
          <w:sz w:val="32"/>
          <w:szCs w:val="32"/>
        </w:rPr>
      </w:pPr>
      <w:r>
        <w:rPr>
          <w:rFonts w:eastAsia="仿宋"/>
          <w:sz w:val="32"/>
          <w:szCs w:val="32"/>
        </w:rPr>
        <w:t>3.未完成的绩效目标。</w:t>
      </w:r>
      <w:r>
        <w:rPr>
          <w:rFonts w:hint="eastAsia" w:eastAsia="仿宋"/>
          <w:sz w:val="32"/>
          <w:szCs w:val="32"/>
          <w:lang w:val="en-US" w:eastAsia="zh-CN"/>
        </w:rPr>
        <w:t>无未完成的年初绩效目标</w:t>
      </w:r>
      <w:r>
        <w:rPr>
          <w:rFonts w:hint="eastAsia" w:eastAsia="仿宋"/>
          <w:sz w:val="32"/>
          <w:szCs w:val="32"/>
        </w:rPr>
        <w:t>。</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（三）存在的问题和原因</w:t>
      </w:r>
    </w:p>
    <w:p>
      <w:pPr>
        <w:widowControl/>
        <w:spacing w:line="560" w:lineRule="exact"/>
        <w:ind w:firstLine="643" w:firstLineChars="200"/>
        <w:outlineLvl w:val="2"/>
        <w:rPr>
          <w:rFonts w:eastAsia="仿宋"/>
          <w:b/>
          <w:sz w:val="32"/>
          <w:szCs w:val="32"/>
        </w:rPr>
      </w:pPr>
      <w:r>
        <w:rPr>
          <w:rFonts w:eastAsia="仿宋"/>
          <w:b/>
          <w:sz w:val="32"/>
          <w:szCs w:val="32"/>
        </w:rPr>
        <w:t>1.上年度绩效评价结果应用情况</w:t>
      </w:r>
    </w:p>
    <w:p>
      <w:pPr>
        <w:widowControl/>
        <w:spacing w:line="560" w:lineRule="exact"/>
        <w:ind w:firstLine="640" w:firstLineChars="200"/>
        <w:rPr>
          <w:rFonts w:hint="default" w:eastAsia="仿宋"/>
          <w:sz w:val="32"/>
          <w:szCs w:val="32"/>
          <w:lang w:val="en-US" w:eastAsia="zh-CN"/>
        </w:rPr>
      </w:pPr>
      <w:r>
        <w:rPr>
          <w:rFonts w:hint="eastAsia" w:eastAsia="仿宋"/>
          <w:sz w:val="32"/>
          <w:szCs w:val="32"/>
        </w:rPr>
        <w:t>本项目上年度实施了绩效自评并形成了项目自评</w:t>
      </w:r>
      <w:r>
        <w:rPr>
          <w:rFonts w:hint="eastAsia" w:eastAsia="仿宋"/>
          <w:sz w:val="32"/>
          <w:szCs w:val="32"/>
          <w:lang w:val="en-US" w:eastAsia="zh-CN"/>
        </w:rPr>
        <w:t>结果</w:t>
      </w:r>
      <w:r>
        <w:rPr>
          <w:rFonts w:hint="eastAsia" w:eastAsia="仿宋"/>
          <w:sz w:val="32"/>
          <w:szCs w:val="32"/>
        </w:rPr>
        <w:t>，</w:t>
      </w:r>
      <w:r>
        <w:rPr>
          <w:rFonts w:hint="eastAsia" w:eastAsia="仿宋"/>
          <w:sz w:val="32"/>
          <w:szCs w:val="32"/>
          <w:lang w:val="en-US" w:eastAsia="zh-CN"/>
        </w:rPr>
        <w:t>但未能较好应用</w:t>
      </w:r>
      <w:r>
        <w:rPr>
          <w:rFonts w:hint="eastAsia" w:eastAsia="仿宋"/>
          <w:sz w:val="32"/>
          <w:szCs w:val="32"/>
        </w:rPr>
        <w:t>上年度绩效自评结果</w:t>
      </w:r>
      <w:r>
        <w:rPr>
          <w:rFonts w:hint="eastAsia" w:eastAsia="仿宋"/>
          <w:sz w:val="32"/>
          <w:szCs w:val="32"/>
          <w:lang w:eastAsia="zh-CN"/>
        </w:rPr>
        <w:t>。</w:t>
      </w:r>
      <w:r>
        <w:rPr>
          <w:rFonts w:hint="eastAsia" w:eastAsia="仿宋"/>
          <w:sz w:val="32"/>
          <w:szCs w:val="32"/>
          <w:lang w:val="en-US" w:eastAsia="zh-CN"/>
        </w:rPr>
        <w:t>上年度绩效自评提出</w:t>
      </w:r>
      <w:r>
        <w:rPr>
          <w:rFonts w:hint="eastAsia" w:eastAsia="仿宋"/>
          <w:sz w:val="32"/>
          <w:szCs w:val="32"/>
        </w:rPr>
        <w:t>成本指标“预算执行率”与预算执行情况内容重复，应删除</w:t>
      </w:r>
      <w:r>
        <w:rPr>
          <w:rFonts w:hint="eastAsia" w:eastAsia="仿宋"/>
          <w:sz w:val="32"/>
          <w:szCs w:val="32"/>
          <w:lang w:eastAsia="zh-CN"/>
        </w:rPr>
        <w:t>，</w:t>
      </w:r>
      <w:r>
        <w:rPr>
          <w:rFonts w:hint="eastAsia" w:eastAsia="仿宋"/>
          <w:sz w:val="32"/>
          <w:szCs w:val="32"/>
          <w:lang w:val="en-US" w:eastAsia="zh-CN"/>
        </w:rPr>
        <w:t>本年度</w:t>
      </w:r>
      <w:r>
        <w:rPr>
          <w:rFonts w:hint="eastAsia" w:eastAsia="仿宋"/>
          <w:sz w:val="32"/>
          <w:szCs w:val="32"/>
        </w:rPr>
        <w:t>“预算执行率”</w:t>
      </w:r>
      <w:r>
        <w:rPr>
          <w:rFonts w:hint="eastAsia" w:eastAsia="仿宋"/>
          <w:sz w:val="32"/>
          <w:szCs w:val="32"/>
          <w:lang w:val="en-US" w:eastAsia="zh-CN"/>
        </w:rPr>
        <w:t>仍存在。</w:t>
      </w:r>
    </w:p>
    <w:p>
      <w:pPr>
        <w:widowControl/>
        <w:spacing w:line="560" w:lineRule="exact"/>
        <w:ind w:firstLine="643" w:firstLineChars="200"/>
        <w:outlineLvl w:val="2"/>
        <w:rPr>
          <w:rFonts w:eastAsia="仿宋"/>
          <w:b/>
          <w:sz w:val="32"/>
          <w:szCs w:val="32"/>
        </w:rPr>
      </w:pPr>
      <w:r>
        <w:rPr>
          <w:rFonts w:eastAsia="仿宋"/>
          <w:b/>
          <w:sz w:val="32"/>
          <w:szCs w:val="32"/>
        </w:rPr>
        <w:t>2.本年度绩效存在的问题和原因</w:t>
      </w:r>
      <w:r>
        <w:rPr>
          <w:rFonts w:hint="eastAsia" w:eastAsia="仿宋"/>
          <w:b/>
          <w:sz w:val="32"/>
          <w:szCs w:val="32"/>
        </w:rPr>
        <w:t xml:space="preserve">                                                                                                                               </w:t>
      </w:r>
    </w:p>
    <w:p>
      <w:pPr>
        <w:widowControl/>
        <w:spacing w:line="560" w:lineRule="exact"/>
        <w:ind w:firstLine="640" w:firstLineChars="200"/>
        <w:rPr>
          <w:rFonts w:hint="eastAsia" w:eastAsia="仿宋"/>
          <w:sz w:val="32"/>
          <w:szCs w:val="32"/>
          <w:lang w:val="en-US" w:eastAsia="zh-CN"/>
        </w:rPr>
      </w:pPr>
      <w:r>
        <w:rPr>
          <w:rFonts w:hint="eastAsia" w:eastAsia="仿宋"/>
          <w:sz w:val="32"/>
          <w:szCs w:val="32"/>
          <w:lang w:val="en-US" w:eastAsia="zh-CN"/>
        </w:rPr>
        <w:t>（1）项目预算执行率一般。主要原因是2022年财政局较前年提前一个月关库，所有指标被收回，故本年度收入支出减少；其余绩效目标完成情况较好。</w:t>
      </w:r>
    </w:p>
    <w:p>
      <w:pPr>
        <w:widowControl/>
        <w:spacing w:line="560" w:lineRule="exact"/>
        <w:ind w:firstLine="640" w:firstLineChars="200"/>
        <w:jc w:val="left"/>
        <w:outlineLvl w:val="1"/>
        <w:rPr>
          <w:rFonts w:hint="eastAsia" w:eastAsia="仿宋"/>
          <w:sz w:val="32"/>
          <w:szCs w:val="32"/>
          <w:lang w:eastAsia="zh-CN"/>
        </w:rPr>
      </w:pPr>
      <w:r>
        <w:rPr>
          <w:rFonts w:hint="eastAsia" w:eastAsia="仿宋"/>
          <w:sz w:val="32"/>
          <w:szCs w:val="32"/>
          <w:lang w:val="en-US" w:eastAsia="zh-CN"/>
        </w:rPr>
        <w:t>（2）</w:t>
      </w:r>
      <w:r>
        <w:rPr>
          <w:rFonts w:hint="eastAsia" w:eastAsia="仿宋"/>
          <w:sz w:val="32"/>
          <w:szCs w:val="32"/>
        </w:rPr>
        <w:t>绩效指标体系有待进一步优化。绩效评价指标体系未与预算资金使用用途紧密结合，预算</w:t>
      </w:r>
      <w:r>
        <w:rPr>
          <w:rFonts w:hint="eastAsia" w:eastAsia="仿宋"/>
          <w:sz w:val="32"/>
          <w:szCs w:val="32"/>
          <w:lang w:val="en-US" w:eastAsia="zh-CN"/>
        </w:rPr>
        <w:t>项目中包含“龙灵山公园日常设施维修维护费”“一枝黄花”“区内绿地白蚁防治”等项目实施</w:t>
      </w:r>
      <w:r>
        <w:rPr>
          <w:rFonts w:hint="eastAsia" w:eastAsia="仿宋"/>
          <w:sz w:val="32"/>
          <w:szCs w:val="32"/>
        </w:rPr>
        <w:t>，但绩效评价指标无对应的</w:t>
      </w:r>
      <w:r>
        <w:rPr>
          <w:rFonts w:hint="eastAsia" w:eastAsia="仿宋"/>
          <w:sz w:val="32"/>
          <w:szCs w:val="32"/>
          <w:lang w:val="en-US" w:eastAsia="zh-CN"/>
        </w:rPr>
        <w:t>产出</w:t>
      </w:r>
      <w:r>
        <w:rPr>
          <w:rFonts w:hint="eastAsia" w:eastAsia="仿宋"/>
          <w:sz w:val="32"/>
          <w:szCs w:val="32"/>
        </w:rPr>
        <w:t>，不能较好地考核预算资金使用效率</w:t>
      </w:r>
      <w:r>
        <w:rPr>
          <w:rFonts w:hint="eastAsia" w:eastAsia="仿宋"/>
          <w:sz w:val="32"/>
          <w:szCs w:val="32"/>
          <w:lang w:eastAsia="zh-CN"/>
        </w:rPr>
        <w:t>。</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（四）下一步拟改进措施</w:t>
      </w:r>
    </w:p>
    <w:p>
      <w:pPr>
        <w:widowControl/>
        <w:spacing w:line="560" w:lineRule="exact"/>
        <w:ind w:firstLine="643" w:firstLineChars="200"/>
        <w:outlineLvl w:val="2"/>
        <w:rPr>
          <w:rFonts w:eastAsia="仿宋"/>
          <w:b/>
          <w:sz w:val="32"/>
          <w:szCs w:val="32"/>
        </w:rPr>
      </w:pPr>
      <w:r>
        <w:rPr>
          <w:rFonts w:eastAsia="仿宋"/>
          <w:b/>
          <w:sz w:val="32"/>
          <w:szCs w:val="32"/>
        </w:rPr>
        <w:t>1.下一步拟改进措施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eastAsia="仿宋"/>
          <w:sz w:val="32"/>
          <w:szCs w:val="32"/>
          <w:lang w:val="en-US" w:eastAsia="zh-CN"/>
        </w:rPr>
      </w:pPr>
      <w:r>
        <w:rPr>
          <w:rFonts w:hint="eastAsia" w:eastAsia="仿宋"/>
          <w:sz w:val="32"/>
          <w:szCs w:val="32"/>
          <w:lang w:val="en-US" w:eastAsia="zh-CN"/>
        </w:rPr>
        <w:t>（1）针对项目预算执行率一般的问题，按项目实施进度及时支付资金，增加请款频率，提高财政资金利用效率。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eastAsia="仿宋"/>
          <w:sz w:val="32"/>
          <w:szCs w:val="32"/>
          <w:lang w:val="en-US" w:eastAsia="zh-CN"/>
        </w:rPr>
      </w:pPr>
      <w:r>
        <w:rPr>
          <w:rFonts w:hint="eastAsia" w:eastAsia="仿宋"/>
          <w:sz w:val="32"/>
          <w:szCs w:val="32"/>
          <w:lang w:val="en-US" w:eastAsia="zh-CN"/>
        </w:rPr>
        <w:t>（2）</w:t>
      </w:r>
      <w:r>
        <w:rPr>
          <w:rFonts w:hint="eastAsia" w:eastAsia="仿宋"/>
          <w:sz w:val="32"/>
          <w:szCs w:val="32"/>
        </w:rPr>
        <w:t>应紧贴年度工作计划和要点，制定科学合理的绩效目标和年度指标值。在项目实施过程中，对绩效指标实行动态管理，结合工作实际，及时更新调整绩效目标和指标，确保绩效指标与项目内容和资金规模合理匹配。结合项目实际合理设置增加设置</w:t>
      </w:r>
      <w:r>
        <w:rPr>
          <w:rFonts w:hint="eastAsia" w:eastAsia="仿宋"/>
          <w:sz w:val="32"/>
          <w:szCs w:val="32"/>
          <w:lang w:val="en-US" w:eastAsia="zh-CN"/>
        </w:rPr>
        <w:t>时效</w:t>
      </w:r>
      <w:r>
        <w:rPr>
          <w:rFonts w:hint="eastAsia" w:eastAsia="仿宋"/>
          <w:sz w:val="32"/>
          <w:szCs w:val="32"/>
        </w:rPr>
        <w:t>指标“</w:t>
      </w:r>
      <w:r>
        <w:rPr>
          <w:rFonts w:hint="eastAsia" w:eastAsia="仿宋"/>
          <w:sz w:val="32"/>
          <w:szCs w:val="32"/>
          <w:lang w:val="en-US" w:eastAsia="zh-CN"/>
        </w:rPr>
        <w:t>龙灵山公园日常设施维修维护及时完成率</w:t>
      </w:r>
      <w:r>
        <w:rPr>
          <w:rFonts w:hint="eastAsia" w:eastAsia="仿宋"/>
          <w:sz w:val="32"/>
          <w:szCs w:val="32"/>
        </w:rPr>
        <w:t>”，设置</w:t>
      </w:r>
      <w:r>
        <w:rPr>
          <w:rFonts w:hint="eastAsia" w:eastAsia="仿宋"/>
          <w:sz w:val="32"/>
          <w:szCs w:val="32"/>
          <w:lang w:val="en-US" w:eastAsia="zh-CN"/>
        </w:rPr>
        <w:t>数量</w:t>
      </w:r>
      <w:r>
        <w:rPr>
          <w:rFonts w:hint="eastAsia" w:eastAsia="仿宋"/>
          <w:sz w:val="32"/>
          <w:szCs w:val="32"/>
        </w:rPr>
        <w:t>指标如“</w:t>
      </w:r>
      <w:r>
        <w:rPr>
          <w:rFonts w:hint="eastAsia" w:eastAsia="仿宋"/>
          <w:sz w:val="32"/>
          <w:szCs w:val="32"/>
          <w:lang w:val="en-US" w:eastAsia="zh-CN"/>
        </w:rPr>
        <w:t>一枝黄花治理数量”“白蚁防治数量</w:t>
      </w:r>
      <w:r>
        <w:rPr>
          <w:rFonts w:hint="eastAsia" w:eastAsia="仿宋"/>
          <w:sz w:val="32"/>
          <w:szCs w:val="32"/>
          <w:lang w:eastAsia="zh-CN"/>
        </w:rPr>
        <w:t>”，</w:t>
      </w:r>
      <w:r>
        <w:rPr>
          <w:rFonts w:hint="eastAsia" w:eastAsia="仿宋"/>
          <w:sz w:val="32"/>
          <w:szCs w:val="32"/>
        </w:rPr>
        <w:t>使得绩效指标与项目经费紧密结合，更加</w:t>
      </w:r>
      <w:r>
        <w:rPr>
          <w:rFonts w:hint="eastAsia" w:eastAsia="仿宋"/>
          <w:sz w:val="32"/>
          <w:szCs w:val="32"/>
          <w:lang w:eastAsia="zh-CN"/>
        </w:rPr>
        <w:t>全面的考核</w:t>
      </w:r>
      <w:r>
        <w:rPr>
          <w:rFonts w:hint="eastAsia" w:eastAsia="仿宋"/>
          <w:sz w:val="32"/>
          <w:szCs w:val="32"/>
        </w:rPr>
        <w:t>项目实施产出和效果。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eastAsia="楷体"/>
          <w:sz w:val="32"/>
          <w:szCs w:val="32"/>
        </w:rPr>
      </w:pPr>
      <w:r>
        <w:rPr>
          <w:rFonts w:eastAsia="楷体"/>
          <w:sz w:val="32"/>
          <w:szCs w:val="32"/>
        </w:rPr>
        <w:t>附件：</w:t>
      </w:r>
      <w:r>
        <w:rPr>
          <w:rFonts w:hint="eastAsia" w:eastAsia="楷体"/>
          <w:sz w:val="32"/>
          <w:szCs w:val="32"/>
          <w:lang w:eastAsia="zh-CN"/>
        </w:rPr>
        <w:t>2022年度园林绿化城市维护资金项目</w:t>
      </w:r>
      <w:r>
        <w:rPr>
          <w:rFonts w:eastAsia="楷体"/>
          <w:sz w:val="32"/>
          <w:szCs w:val="32"/>
        </w:rPr>
        <w:t>自评表</w:t>
      </w:r>
    </w:p>
    <w:p>
      <w:pPr>
        <w:widowControl/>
        <w:spacing w:line="560" w:lineRule="exact"/>
        <w:ind w:firstLine="640" w:firstLineChars="200"/>
        <w:rPr>
          <w:rFonts w:eastAsia="楷体"/>
          <w:sz w:val="32"/>
          <w:szCs w:val="32"/>
        </w:rPr>
        <w:sectPr>
          <w:footerReference r:id="rId3" w:type="default"/>
          <w:pgSz w:w="11906" w:h="16838"/>
          <w:pgMar w:top="2098" w:right="1474" w:bottom="1984" w:left="1587" w:header="851" w:footer="992" w:gutter="0"/>
          <w:cols w:space="720" w:num="1"/>
          <w:docGrid w:type="lines" w:linePitch="312" w:charSpace="0"/>
        </w:sectPr>
      </w:pPr>
    </w:p>
    <w:p>
      <w:pPr>
        <w:pStyle w:val="2"/>
        <w:spacing w:after="0"/>
        <w:ind w:firstLine="643" w:firstLineChars="200"/>
        <w:rPr>
          <w:rFonts w:eastAsia="楷体"/>
          <w:b/>
          <w:bCs/>
        </w:rPr>
      </w:pPr>
      <w:r>
        <w:rPr>
          <w:rFonts w:hint="eastAsia" w:eastAsia="楷体"/>
          <w:b/>
          <w:bCs/>
          <w:color w:val="000000"/>
          <w:kern w:val="0"/>
          <w:sz w:val="32"/>
          <w:szCs w:val="32"/>
        </w:rPr>
        <w:t>附件：</w:t>
      </w:r>
    </w:p>
    <w:tbl>
      <w:tblPr>
        <w:tblStyle w:val="11"/>
        <w:tblW w:w="526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6"/>
        <w:gridCol w:w="1152"/>
        <w:gridCol w:w="1305"/>
        <w:gridCol w:w="1681"/>
        <w:gridCol w:w="1559"/>
        <w:gridCol w:w="1427"/>
        <w:gridCol w:w="17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00" w:type="pct"/>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2022年度园林绿化城市维护资金项目自评表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3" w:hRule="atLeast"/>
        </w:trPr>
        <w:tc>
          <w:tcPr>
            <w:tcW w:w="5000" w:type="pct"/>
            <w:gridSpan w:val="7"/>
            <w:tcBorders>
              <w:top w:val="nil"/>
              <w:left w:val="nil"/>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单位名称：武汉经济技术开发区（汉南区）住房和城乡建设局              填报日期：2023年4月20日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项目名称</w:t>
            </w:r>
          </w:p>
        </w:tc>
        <w:tc>
          <w:tcPr>
            <w:tcW w:w="40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园林绿化城市维护资金项目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主管部门</w:t>
            </w:r>
          </w:p>
        </w:tc>
        <w:tc>
          <w:tcPr>
            <w:tcW w:w="15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武汉经济技术开发区（汉南区）住房和城乡建设局</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项目实施单位</w:t>
            </w:r>
          </w:p>
        </w:tc>
        <w:tc>
          <w:tcPr>
            <w:tcW w:w="1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武汉经济技术开发区(汉南区)园林管理中心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项目类别</w:t>
            </w:r>
          </w:p>
        </w:tc>
        <w:tc>
          <w:tcPr>
            <w:tcW w:w="40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1.部门预算项目    </w:t>
            </w:r>
            <w:r>
              <w:rPr>
                <w:rFonts w:ascii="Wingdings 2" w:hAnsi="Wingdings 2" w:eastAsia="Wingdings 2" w:cs="Wingdings 2"/>
                <w:b/>
                <w:bCs/>
                <w:i w:val="0"/>
                <w:iCs w:val="0"/>
                <w:color w:val="000000"/>
                <w:kern w:val="0"/>
                <w:sz w:val="20"/>
                <w:szCs w:val="20"/>
                <w:u w:val="none"/>
                <w:lang w:val="en-US" w:eastAsia="zh-CN" w:bidi="ar"/>
              </w:rPr>
              <w:t>R</w:t>
            </w:r>
            <w:r>
              <w:rPr>
                <w:rStyle w:val="28"/>
                <w:lang w:val="en-US" w:eastAsia="zh-CN" w:bidi="ar"/>
              </w:rPr>
              <w:t xml:space="preserve">         2.财政专项资金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项目属性</w:t>
            </w:r>
          </w:p>
        </w:tc>
        <w:tc>
          <w:tcPr>
            <w:tcW w:w="40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1.持续性项目      </w:t>
            </w:r>
            <w:r>
              <w:rPr>
                <w:rFonts w:ascii="Wingdings" w:hAnsi="Wingdings" w:eastAsia="仿宋" w:cs="Wingdings"/>
                <w:i w:val="0"/>
                <w:iCs w:val="0"/>
                <w:color w:val="000000"/>
                <w:kern w:val="0"/>
                <w:sz w:val="20"/>
                <w:szCs w:val="20"/>
                <w:u w:val="none"/>
                <w:lang w:val="en-US" w:eastAsia="zh-CN" w:bidi="ar"/>
              </w:rPr>
              <w:t>þ</w:t>
            </w:r>
            <w:r>
              <w:rPr>
                <w:rStyle w:val="28"/>
                <w:lang w:val="en-US" w:eastAsia="zh-CN" w:bidi="ar"/>
              </w:rPr>
              <w:t xml:space="preserve">         2.新增性项目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项目类型</w:t>
            </w:r>
          </w:p>
        </w:tc>
        <w:tc>
          <w:tcPr>
            <w:tcW w:w="40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1.常年性项目      </w:t>
            </w:r>
            <w:r>
              <w:rPr>
                <w:rFonts w:ascii="Wingdings 2" w:hAnsi="Wingdings 2" w:eastAsia="Wingdings 2" w:cs="Wingdings 2"/>
                <w:b/>
                <w:bCs/>
                <w:i w:val="0"/>
                <w:iCs w:val="0"/>
                <w:color w:val="000000"/>
                <w:kern w:val="0"/>
                <w:sz w:val="20"/>
                <w:szCs w:val="20"/>
                <w:u w:val="none"/>
                <w:lang w:val="en-US" w:eastAsia="zh-CN" w:bidi="ar"/>
              </w:rPr>
              <w:t>R</w:t>
            </w:r>
            <w:r>
              <w:rPr>
                <w:rStyle w:val="28"/>
                <w:lang w:val="en-US" w:eastAsia="zh-CN" w:bidi="ar"/>
              </w:rPr>
              <w:t xml:space="preserve"> </w:t>
            </w:r>
            <w:r>
              <w:rPr>
                <w:rStyle w:val="28"/>
                <w:lang w:val="en-US" w:eastAsia="zh-CN" w:bidi="ar"/>
              </w:rPr>
              <w:t xml:space="preserve">         2.延续性项目    □         3.一次性项目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4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预算执行情况</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（万元）</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（20分）</w:t>
            </w:r>
          </w:p>
        </w:tc>
        <w:tc>
          <w:tcPr>
            <w:tcW w:w="6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年度财政资金总额</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预算数（A）</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执行数（B）</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执行率(B/A)</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得分</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(20分*执行率)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4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6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1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15,736.45 </w:t>
            </w:r>
          </w:p>
        </w:tc>
        <w:tc>
          <w:tcPr>
            <w:tcW w:w="1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13,795.09 </w:t>
            </w:r>
          </w:p>
        </w:tc>
        <w:tc>
          <w:tcPr>
            <w:tcW w:w="1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87.66%</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年度绩效目标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一级</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指标</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二级指标</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指标名称</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年初目标值（A）</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实际完成值（B）</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产出指标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（60分）</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养护管理达标次数</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≥92%</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95%</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物业服务管理达标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≥95%</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95%</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园林绿化资源普查完成率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新建绿化面积</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≥2666.8平方米</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2666.8平方米</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草坪植被覆盖率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≥97%</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97%</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经开区(汉南区)绿地系统规划编制</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完成</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小单验收合格率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达标</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达标</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花卉、金秋菊展竣工验收率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合格</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合格</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大树复壮及景观修复项目工程质量</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合格</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合格</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满足市园林局绩效考核的养护管理规定</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达标</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达标</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绿化养护等级</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一级</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一级</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质量指标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项目竣工验收合格率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时效指标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项目按期完成率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按期完成</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按期完成</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时效指标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普查及义务植树及时有效</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及时</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及时</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时效指标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(4分)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项目按期完成率</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100%</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效益指标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（12分）</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生态效益指标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生态环境改善度</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明显改善</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明显改善</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社会效益指标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(6分)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病虫害危害减少</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减少</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减少</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 w:hAnsi="仿宋" w:eastAsia="仿宋" w:cs="仿宋"/>
                <w:i w:val="0"/>
                <w:iCs w:val="0"/>
                <w:color w:val="000000"/>
                <w:sz w:val="20"/>
                <w:szCs w:val="20"/>
                <w:u w:val="none"/>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满意度指标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（8分）</w:t>
            </w:r>
          </w:p>
        </w:tc>
        <w:tc>
          <w:tcPr>
            <w:tcW w:w="6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满意度指标</w:t>
            </w:r>
            <w:r>
              <w:rPr>
                <w:rFonts w:hint="eastAsia" w:ascii="仿宋" w:hAnsi="仿宋" w:eastAsia="仿宋" w:cs="仿宋"/>
                <w:i w:val="0"/>
                <w:iCs w:val="0"/>
                <w:color w:val="000000"/>
                <w:kern w:val="0"/>
                <w:sz w:val="18"/>
                <w:szCs w:val="18"/>
                <w:u w:val="none"/>
                <w:lang w:val="en-US" w:eastAsia="zh-CN" w:bidi="ar"/>
              </w:rPr>
              <w:br w:type="textWrapping"/>
            </w:r>
            <w:r>
              <w:rPr>
                <w:rFonts w:hint="eastAsia" w:ascii="仿宋" w:hAnsi="仿宋" w:eastAsia="仿宋" w:cs="仿宋"/>
                <w:i w:val="0"/>
                <w:iCs w:val="0"/>
                <w:color w:val="000000"/>
                <w:kern w:val="0"/>
                <w:sz w:val="18"/>
                <w:szCs w:val="18"/>
                <w:u w:val="none"/>
                <w:lang w:val="en-US" w:eastAsia="zh-CN" w:bidi="ar"/>
              </w:rPr>
              <w:t>(8分)</w:t>
            </w:r>
          </w:p>
        </w:tc>
        <w:tc>
          <w:tcPr>
            <w:tcW w:w="8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群众满意度</w:t>
            </w:r>
          </w:p>
        </w:tc>
        <w:tc>
          <w:tcPr>
            <w:tcW w:w="8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满意</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满意</w:t>
            </w:r>
          </w:p>
        </w:tc>
        <w:tc>
          <w:tcPr>
            <w:tcW w:w="9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总分</w:t>
            </w:r>
          </w:p>
        </w:tc>
        <w:tc>
          <w:tcPr>
            <w:tcW w:w="46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97.5分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偏差大或目标未完成原因分析</w:t>
            </w:r>
          </w:p>
        </w:tc>
        <w:tc>
          <w:tcPr>
            <w:tcW w:w="4056" w:type="pct"/>
            <w:gridSpan w:val="5"/>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1.项目预算执行率一般，主要原因是2022年财政局较前年提前一个月关库，所有指标被收回，故本年度收入支出减少；其余绩效目标完成情况较好。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改进措施及结果应用方案</w:t>
            </w:r>
          </w:p>
        </w:tc>
        <w:tc>
          <w:tcPr>
            <w:tcW w:w="40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1.针对项目预算执行率一般的问题，按项目实施进度及时支付资金，增加请款频率，提高财政资金利用效率。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Style w:val="28"/>
                <w:lang w:val="en-US" w:eastAsia="zh-CN" w:bidi="ar"/>
              </w:rPr>
              <w:t>注：</w:t>
            </w:r>
            <w:r>
              <w:rPr>
                <w:rStyle w:val="28"/>
                <w:lang w:val="en-US" w:eastAsia="zh-CN" w:bidi="ar"/>
              </w:rPr>
              <w:br w:type="textWrapping"/>
            </w:r>
            <w:r>
              <w:rPr>
                <w:rStyle w:val="28"/>
                <w:lang w:val="en-US" w:eastAsia="zh-CN" w:bidi="ar"/>
              </w:rPr>
              <w:t>1.预算执行情况口径：预算数为调整后财政资金总额（包括上年结转余额），执行数为资金使用单位财政资金实际支出数。</w:t>
            </w:r>
            <w:r>
              <w:rPr>
                <w:rStyle w:val="28"/>
                <w:lang w:val="en-US" w:eastAsia="zh-CN" w:bidi="ar"/>
              </w:rPr>
              <w:br w:type="textWrapping"/>
            </w:r>
            <w:r>
              <w:rPr>
                <w:rStyle w:val="28"/>
                <w:lang w:val="en-US" w:eastAsia="zh-CN" w:bidi="ar"/>
              </w:rPr>
              <w:t>2.定量指标完成数汇总原则：绝对值直接累加计算，相对值按照资金额度加权平均计算。定量指标计分原则：正向指标（即目标值为＞X，得分=权重B/A）,反向指标（即目标值</w:t>
            </w:r>
            <w:r>
              <w:rPr>
                <w:rStyle w:val="29"/>
                <w:lang w:val="en-US" w:eastAsia="zh-CN" w:bidi="ar"/>
              </w:rPr>
              <w:t>为≤X</w:t>
            </w:r>
            <w:r>
              <w:rPr>
                <w:rStyle w:val="28"/>
                <w:lang w:val="en-US" w:eastAsia="zh-CN" w:bidi="ar"/>
              </w:rPr>
              <w:t>，得分=权重A/B）,得分不得突破权重总额。定量指标先汇总完成数，再计算得分。</w:t>
            </w:r>
            <w:r>
              <w:rPr>
                <w:rStyle w:val="28"/>
                <w:lang w:val="en-US" w:eastAsia="zh-CN" w:bidi="ar"/>
              </w:rPr>
              <w:br w:type="textWrapping"/>
            </w:r>
            <w:r>
              <w:rPr>
                <w:rStyle w:val="28"/>
                <w:lang w:val="en-US" w:eastAsia="zh-CN" w:bidi="ar"/>
              </w:rPr>
              <w:t>3.定性指标计分原则：达成预期指标、部分达成预期指标并具有一定效果、未达成预期指标且效果较差三档，分别按照该指标对应分值区间100-80（含80%）、80-50（50%）、50-0%合理确定分值。汇总时，以资金额度为权重，对分值进行加权平均计算。</w:t>
            </w:r>
            <w:r>
              <w:rPr>
                <w:rStyle w:val="28"/>
                <w:lang w:val="en-US" w:eastAsia="zh-CN" w:bidi="ar"/>
              </w:rPr>
              <w:br w:type="textWrapping"/>
            </w:r>
            <w:r>
              <w:rPr>
                <w:rStyle w:val="28"/>
                <w:lang w:val="en-US" w:eastAsia="zh-CN" w:bidi="ar"/>
              </w:rPr>
              <w:t>4.基于经济性和必要性等因素考虑，满意度指标暂可不作为必评指标。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5000" w:type="pct"/>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trPr>
        <w:tc>
          <w:tcPr>
            <w:tcW w:w="5000" w:type="pct"/>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 w:hAnsi="仿宋" w:eastAsia="仿宋" w:cs="仿宋"/>
                <w:i w:val="0"/>
                <w:iCs w:val="0"/>
                <w:color w:val="000000"/>
                <w:sz w:val="20"/>
                <w:szCs w:val="20"/>
                <w:u w:val="none"/>
              </w:rPr>
            </w:pPr>
          </w:p>
        </w:tc>
      </w:tr>
    </w:tbl>
    <w:p>
      <w:pPr>
        <w:widowControl/>
        <w:spacing w:line="432" w:lineRule="atLeast"/>
        <w:jc w:val="center"/>
        <w:rPr>
          <w:rFonts w:eastAsia="黑体"/>
          <w:b/>
          <w:bCs/>
          <w:color w:val="000000"/>
          <w:kern w:val="0"/>
          <w:sz w:val="32"/>
          <w:szCs w:val="32"/>
        </w:rPr>
        <w:sectPr>
          <w:pgSz w:w="11906" w:h="16838"/>
          <w:pgMar w:top="2098" w:right="1474" w:bottom="1984" w:left="1587" w:header="851" w:footer="992" w:gutter="0"/>
          <w:cols w:space="720" w:num="1"/>
          <w:docGrid w:type="lines" w:linePitch="312" w:charSpace="0"/>
        </w:sectPr>
      </w:pPr>
      <w:r>
        <w:rPr>
          <w:rFonts w:eastAsia="仿宋"/>
          <w:color w:val="000000"/>
          <w:kern w:val="0"/>
          <w:sz w:val="32"/>
          <w:szCs w:val="32"/>
        </w:rPr>
        <w:t xml:space="preserve"> </w:t>
      </w:r>
    </w:p>
    <w:p>
      <w:pPr>
        <w:widowControl/>
        <w:spacing w:line="560" w:lineRule="exact"/>
        <w:ind w:firstLine="643" w:firstLineChars="200"/>
        <w:outlineLvl w:val="0"/>
        <w:rPr>
          <w:rFonts w:eastAsia="黑体"/>
          <w:b/>
          <w:bCs/>
          <w:color w:val="000000"/>
          <w:kern w:val="0"/>
          <w:sz w:val="32"/>
          <w:szCs w:val="32"/>
        </w:rPr>
      </w:pPr>
      <w:r>
        <w:rPr>
          <w:rFonts w:eastAsia="黑体"/>
          <w:b/>
          <w:bCs/>
          <w:color w:val="000000"/>
          <w:kern w:val="0"/>
          <w:sz w:val="32"/>
          <w:szCs w:val="32"/>
        </w:rPr>
        <w:t>二、佐证材料</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（一）基本情况</w:t>
      </w:r>
    </w:p>
    <w:p>
      <w:pPr>
        <w:widowControl/>
        <w:spacing w:line="560" w:lineRule="exact"/>
        <w:ind w:firstLine="643" w:firstLineChars="200"/>
        <w:outlineLvl w:val="2"/>
        <w:rPr>
          <w:rFonts w:eastAsia="仿宋"/>
          <w:b/>
          <w:sz w:val="32"/>
          <w:szCs w:val="32"/>
        </w:rPr>
      </w:pPr>
      <w:r>
        <w:rPr>
          <w:rFonts w:eastAsia="仿宋"/>
          <w:b/>
          <w:sz w:val="32"/>
          <w:szCs w:val="32"/>
        </w:rPr>
        <w:t>1.项目立项目的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为了加快生态园林城市建设和“双创”工作步伐，推进园林绿化管护市场化进程，全面提高我市城市园林绿化管护</w:t>
      </w:r>
      <w:r>
        <w:rPr>
          <w:rFonts w:hint="eastAsia" w:ascii="仿宋" w:hAnsi="仿宋" w:eastAsia="仿宋" w:cs="仿宋"/>
          <w:sz w:val="32"/>
          <w:szCs w:val="32"/>
          <w:lang w:eastAsia="zh-CN"/>
        </w:rPr>
        <w:t>效益</w:t>
      </w:r>
      <w:r>
        <w:rPr>
          <w:rFonts w:hint="eastAsia" w:ascii="仿宋" w:hAnsi="仿宋" w:eastAsia="仿宋" w:cs="仿宋"/>
          <w:sz w:val="32"/>
          <w:szCs w:val="32"/>
        </w:rPr>
        <w:t>和管护水平，按照《城市绿化条例》和市园林和林业局制定的相关标准开展绿化养护、花卉栽植等工作，提高绿化景观效果，为宜居城市提供重要保障。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本项目开展有利于加快武汉经济技术开发区（汉南区）的建设和管理，服务区域城市建设，同时有利于持续改善城市生态环境，为市民提供休闲场所，提升城市品质和市民工作生活质量。</w:t>
      </w:r>
    </w:p>
    <w:p>
      <w:pPr>
        <w:widowControl/>
        <w:spacing w:line="560" w:lineRule="exact"/>
        <w:ind w:firstLine="643" w:firstLineChars="200"/>
        <w:outlineLvl w:val="2"/>
        <w:rPr>
          <w:rFonts w:eastAsia="仿宋"/>
          <w:b/>
          <w:sz w:val="32"/>
          <w:szCs w:val="32"/>
        </w:rPr>
      </w:pPr>
      <w:r>
        <w:rPr>
          <w:rFonts w:eastAsia="仿宋"/>
          <w:b/>
          <w:sz w:val="32"/>
          <w:szCs w:val="32"/>
        </w:rPr>
        <w:t>2.年度绩效目标</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eastAsia="zh-CN"/>
        </w:rPr>
        <w:t>《关于批复武汉经济技术开发区(汉南区)园林管理中心2022年预算的函》（武开资规函〔2022〕8号）、</w:t>
      </w:r>
      <w:r>
        <w:rPr>
          <w:rFonts w:hint="eastAsia" w:ascii="仿宋" w:hAnsi="仿宋" w:eastAsia="仿宋" w:cs="仿宋"/>
          <w:sz w:val="32"/>
          <w:szCs w:val="32"/>
        </w:rPr>
        <w:t>《关于下达2021年金秋菊展经费的通知》</w:t>
      </w:r>
      <w:r>
        <w:rPr>
          <w:rFonts w:hint="eastAsia" w:ascii="仿宋" w:hAnsi="仿宋" w:eastAsia="仿宋" w:cs="仿宋"/>
          <w:sz w:val="32"/>
          <w:szCs w:val="32"/>
          <w:lang w:eastAsia="zh-CN"/>
        </w:rPr>
        <w:t>（</w:t>
      </w:r>
      <w:r>
        <w:rPr>
          <w:rFonts w:hint="eastAsia" w:ascii="仿宋" w:hAnsi="仿宋" w:eastAsia="仿宋" w:cs="仿宋"/>
          <w:sz w:val="32"/>
          <w:szCs w:val="32"/>
        </w:rPr>
        <w:t>武经开财预〔2022〕4号</w:t>
      </w:r>
      <w:r>
        <w:rPr>
          <w:rFonts w:hint="eastAsia" w:ascii="仿宋" w:hAnsi="仿宋" w:eastAsia="仿宋" w:cs="仿宋"/>
          <w:sz w:val="32"/>
          <w:szCs w:val="32"/>
          <w:lang w:eastAsia="zh-CN"/>
        </w:rPr>
        <w:t>）、《市财政局关于下达2022年省级城乡建设发展引导资金的通知》(武财建〔2022〕652号)</w:t>
      </w:r>
      <w:r>
        <w:rPr>
          <w:rFonts w:hint="eastAsia" w:ascii="仿宋" w:hAnsi="仿宋" w:eastAsia="仿宋" w:cs="仿宋"/>
          <w:sz w:val="32"/>
          <w:szCs w:val="32"/>
        </w:rPr>
        <w:t>，本项目202</w:t>
      </w:r>
      <w:r>
        <w:rPr>
          <w:rFonts w:hint="eastAsia" w:ascii="仿宋" w:hAnsi="仿宋" w:eastAsia="仿宋" w:cs="仿宋"/>
          <w:sz w:val="32"/>
          <w:szCs w:val="32"/>
          <w:lang w:val="en-US" w:eastAsia="zh-CN"/>
        </w:rPr>
        <w:t>2</w:t>
      </w:r>
      <w:r>
        <w:rPr>
          <w:rFonts w:hint="eastAsia" w:ascii="仿宋" w:hAnsi="仿宋" w:eastAsia="仿宋" w:cs="仿宋"/>
          <w:sz w:val="32"/>
          <w:szCs w:val="32"/>
        </w:rPr>
        <w:t>年度总目标为：养护管理达标次数≥92%</w:t>
      </w:r>
      <w:r>
        <w:rPr>
          <w:rFonts w:hint="eastAsia" w:ascii="仿宋" w:hAnsi="仿宋" w:eastAsia="仿宋" w:cs="仿宋"/>
          <w:sz w:val="32"/>
          <w:szCs w:val="32"/>
          <w:lang w:eastAsia="zh-CN"/>
        </w:rPr>
        <w:t>，</w:t>
      </w:r>
      <w:r>
        <w:rPr>
          <w:rFonts w:hint="eastAsia" w:ascii="仿宋" w:hAnsi="仿宋" w:eastAsia="仿宋" w:cs="仿宋"/>
          <w:sz w:val="32"/>
          <w:szCs w:val="32"/>
        </w:rPr>
        <w:t>物业服务管理达标≥95%</w:t>
      </w:r>
      <w:r>
        <w:rPr>
          <w:rFonts w:hint="eastAsia" w:ascii="仿宋" w:hAnsi="仿宋" w:eastAsia="仿宋" w:cs="仿宋"/>
          <w:sz w:val="32"/>
          <w:szCs w:val="32"/>
          <w:lang w:eastAsia="zh-CN"/>
        </w:rPr>
        <w:t>，</w:t>
      </w:r>
      <w:r>
        <w:rPr>
          <w:rFonts w:hint="eastAsia" w:ascii="仿宋" w:hAnsi="仿宋" w:eastAsia="仿宋" w:cs="仿宋"/>
          <w:sz w:val="32"/>
          <w:szCs w:val="32"/>
        </w:rPr>
        <w:t>园林绿化资源普查完成率≥100%</w:t>
      </w:r>
      <w:r>
        <w:rPr>
          <w:rFonts w:hint="eastAsia" w:ascii="仿宋" w:hAnsi="仿宋" w:eastAsia="仿宋" w:cs="仿宋"/>
          <w:sz w:val="32"/>
          <w:szCs w:val="32"/>
          <w:lang w:eastAsia="zh-CN"/>
        </w:rPr>
        <w:t>，</w:t>
      </w:r>
      <w:r>
        <w:rPr>
          <w:rFonts w:hint="eastAsia" w:ascii="仿宋" w:hAnsi="仿宋" w:eastAsia="仿宋" w:cs="仿宋"/>
          <w:sz w:val="32"/>
          <w:szCs w:val="32"/>
        </w:rPr>
        <w:t>新建绿化面积≥2666.8平方米</w:t>
      </w:r>
      <w:r>
        <w:rPr>
          <w:rFonts w:hint="eastAsia" w:ascii="仿宋" w:hAnsi="仿宋" w:eastAsia="仿宋" w:cs="仿宋"/>
          <w:sz w:val="32"/>
          <w:szCs w:val="32"/>
          <w:lang w:eastAsia="zh-CN"/>
        </w:rPr>
        <w:t>，</w:t>
      </w:r>
      <w:r>
        <w:rPr>
          <w:rFonts w:hint="eastAsia" w:ascii="仿宋" w:hAnsi="仿宋" w:eastAsia="仿宋" w:cs="仿宋"/>
          <w:sz w:val="32"/>
          <w:szCs w:val="32"/>
        </w:rPr>
        <w:t>草坪植被覆盖率≥97%</w:t>
      </w:r>
      <w:r>
        <w:rPr>
          <w:rFonts w:hint="eastAsia" w:ascii="仿宋" w:hAnsi="仿宋" w:eastAsia="仿宋" w:cs="仿宋"/>
          <w:sz w:val="32"/>
          <w:szCs w:val="32"/>
          <w:lang w:eastAsia="zh-CN"/>
        </w:rPr>
        <w:t>，</w:t>
      </w:r>
      <w:r>
        <w:rPr>
          <w:rFonts w:hint="eastAsia" w:ascii="仿宋" w:hAnsi="仿宋" w:eastAsia="仿宋" w:cs="仿宋"/>
          <w:sz w:val="32"/>
          <w:szCs w:val="32"/>
        </w:rPr>
        <w:t>完成经开区(汉南区)绿地系统规划编制</w:t>
      </w:r>
      <w:r>
        <w:rPr>
          <w:rFonts w:hint="eastAsia" w:ascii="仿宋" w:hAnsi="仿宋" w:eastAsia="仿宋" w:cs="仿宋"/>
          <w:sz w:val="32"/>
          <w:szCs w:val="32"/>
          <w:lang w:eastAsia="zh-CN"/>
        </w:rPr>
        <w:t>，</w:t>
      </w:r>
      <w:r>
        <w:rPr>
          <w:rFonts w:hint="eastAsia" w:ascii="仿宋" w:hAnsi="仿宋" w:eastAsia="仿宋" w:cs="仿宋"/>
          <w:sz w:val="32"/>
          <w:szCs w:val="32"/>
        </w:rPr>
        <w:t>小单验收质量指标</w:t>
      </w:r>
      <w:r>
        <w:rPr>
          <w:rFonts w:hint="eastAsia" w:ascii="仿宋" w:hAnsi="仿宋" w:eastAsia="仿宋" w:cs="仿宋"/>
          <w:sz w:val="32"/>
          <w:szCs w:val="32"/>
          <w:lang w:eastAsia="zh-CN"/>
        </w:rPr>
        <w:t>，</w:t>
      </w:r>
      <w:r>
        <w:rPr>
          <w:rFonts w:hint="eastAsia" w:ascii="仿宋" w:hAnsi="仿宋" w:eastAsia="仿宋" w:cs="仿宋"/>
          <w:sz w:val="32"/>
          <w:szCs w:val="32"/>
        </w:rPr>
        <w:t>花卉、金秋菊展竣工验收率合格</w:t>
      </w:r>
      <w:r>
        <w:rPr>
          <w:rFonts w:hint="eastAsia" w:ascii="仿宋" w:hAnsi="仿宋" w:eastAsia="仿宋" w:cs="仿宋"/>
          <w:sz w:val="32"/>
          <w:szCs w:val="32"/>
          <w:lang w:eastAsia="zh-CN"/>
        </w:rPr>
        <w:t>，</w:t>
      </w:r>
      <w:r>
        <w:rPr>
          <w:rFonts w:hint="eastAsia" w:ascii="仿宋" w:hAnsi="仿宋" w:eastAsia="仿宋" w:cs="仿宋"/>
          <w:sz w:val="32"/>
          <w:szCs w:val="32"/>
        </w:rPr>
        <w:t>大树复壮及景观修复项目工程质量合格</w:t>
      </w:r>
      <w:r>
        <w:rPr>
          <w:rFonts w:hint="eastAsia" w:ascii="仿宋" w:hAnsi="仿宋" w:eastAsia="仿宋" w:cs="仿宋"/>
          <w:sz w:val="32"/>
          <w:szCs w:val="32"/>
          <w:lang w:eastAsia="zh-CN"/>
        </w:rPr>
        <w:t>，</w:t>
      </w:r>
      <w:r>
        <w:rPr>
          <w:rFonts w:hint="eastAsia" w:ascii="仿宋" w:hAnsi="仿宋" w:eastAsia="仿宋" w:cs="仿宋"/>
          <w:sz w:val="32"/>
          <w:szCs w:val="32"/>
        </w:rPr>
        <w:t>满足市园林局绩效考核的养护管理规定</w:t>
      </w:r>
      <w:r>
        <w:rPr>
          <w:rFonts w:hint="eastAsia" w:ascii="仿宋" w:hAnsi="仿宋" w:eastAsia="仿宋" w:cs="仿宋"/>
          <w:sz w:val="32"/>
          <w:szCs w:val="32"/>
          <w:lang w:eastAsia="zh-CN"/>
        </w:rPr>
        <w:t>，</w:t>
      </w:r>
      <w:r>
        <w:rPr>
          <w:rFonts w:hint="eastAsia" w:ascii="仿宋" w:hAnsi="仿宋" w:eastAsia="仿宋" w:cs="仿宋"/>
          <w:sz w:val="32"/>
          <w:szCs w:val="32"/>
        </w:rPr>
        <w:t>绿化养护等级一级</w:t>
      </w:r>
      <w:r>
        <w:rPr>
          <w:rFonts w:hint="eastAsia" w:ascii="仿宋" w:hAnsi="仿宋" w:eastAsia="仿宋" w:cs="仿宋"/>
          <w:sz w:val="32"/>
          <w:szCs w:val="32"/>
          <w:lang w:eastAsia="zh-CN"/>
        </w:rPr>
        <w:t>，</w:t>
      </w:r>
      <w:r>
        <w:rPr>
          <w:rFonts w:hint="eastAsia" w:ascii="仿宋" w:hAnsi="仿宋" w:eastAsia="仿宋" w:cs="仿宋"/>
          <w:sz w:val="32"/>
          <w:szCs w:val="32"/>
        </w:rPr>
        <w:t>项目竣工验收合格率≥100%</w:t>
      </w:r>
      <w:r>
        <w:rPr>
          <w:rFonts w:hint="eastAsia" w:ascii="仿宋" w:hAnsi="仿宋" w:eastAsia="仿宋" w:cs="仿宋"/>
          <w:sz w:val="32"/>
          <w:szCs w:val="32"/>
          <w:lang w:eastAsia="zh-CN"/>
        </w:rPr>
        <w:t>，</w:t>
      </w:r>
      <w:r>
        <w:rPr>
          <w:rFonts w:hint="eastAsia" w:ascii="仿宋" w:hAnsi="仿宋" w:eastAsia="仿宋" w:cs="仿宋"/>
          <w:sz w:val="32"/>
          <w:szCs w:val="32"/>
        </w:rPr>
        <w:t>项目按期完成</w:t>
      </w:r>
      <w:r>
        <w:rPr>
          <w:rFonts w:hint="eastAsia" w:ascii="仿宋" w:hAnsi="仿宋" w:eastAsia="仿宋" w:cs="仿宋"/>
          <w:sz w:val="32"/>
          <w:szCs w:val="32"/>
          <w:lang w:eastAsia="zh-CN"/>
        </w:rPr>
        <w:t>，</w:t>
      </w:r>
      <w:r>
        <w:rPr>
          <w:rFonts w:hint="eastAsia" w:ascii="仿宋" w:hAnsi="仿宋" w:eastAsia="仿宋" w:cs="仿宋"/>
          <w:sz w:val="32"/>
          <w:szCs w:val="32"/>
        </w:rPr>
        <w:t>普查及义务植树及时有效</w:t>
      </w:r>
      <w:r>
        <w:rPr>
          <w:rFonts w:hint="eastAsia" w:ascii="仿宋" w:hAnsi="仿宋" w:eastAsia="仿宋" w:cs="仿宋"/>
          <w:sz w:val="32"/>
          <w:szCs w:val="32"/>
        </w:rPr>
        <w:tab/>
      </w:r>
      <w:r>
        <w:rPr>
          <w:rFonts w:hint="eastAsia" w:ascii="仿宋" w:hAnsi="仿宋" w:eastAsia="仿宋" w:cs="仿宋"/>
          <w:sz w:val="32"/>
          <w:szCs w:val="32"/>
          <w:lang w:eastAsia="zh-CN"/>
        </w:rPr>
        <w:t>，</w:t>
      </w:r>
      <w:r>
        <w:rPr>
          <w:rFonts w:hint="eastAsia" w:ascii="仿宋" w:hAnsi="仿宋" w:eastAsia="仿宋" w:cs="仿宋"/>
          <w:sz w:val="32"/>
          <w:szCs w:val="32"/>
        </w:rPr>
        <w:t>生态环境明显改善</w:t>
      </w:r>
      <w:r>
        <w:rPr>
          <w:rFonts w:hint="eastAsia" w:ascii="仿宋" w:hAnsi="仿宋" w:eastAsia="仿宋" w:cs="仿宋"/>
          <w:sz w:val="32"/>
          <w:szCs w:val="32"/>
          <w:lang w:eastAsia="zh-CN"/>
        </w:rPr>
        <w:t>，</w:t>
      </w:r>
      <w:r>
        <w:rPr>
          <w:rFonts w:hint="eastAsia" w:ascii="仿宋" w:hAnsi="仿宋" w:eastAsia="仿宋" w:cs="仿宋"/>
          <w:sz w:val="32"/>
          <w:szCs w:val="32"/>
        </w:rPr>
        <w:t>病虫害危害减少</w:t>
      </w:r>
      <w:r>
        <w:rPr>
          <w:rFonts w:hint="eastAsia" w:ascii="仿宋" w:hAnsi="仿宋" w:eastAsia="仿宋" w:cs="仿宋"/>
          <w:sz w:val="32"/>
          <w:szCs w:val="32"/>
          <w:lang w:eastAsia="zh-CN"/>
        </w:rPr>
        <w:t>，</w:t>
      </w:r>
      <w:r>
        <w:rPr>
          <w:rFonts w:hint="eastAsia" w:ascii="仿宋" w:hAnsi="仿宋" w:eastAsia="仿宋" w:cs="仿宋"/>
          <w:sz w:val="32"/>
          <w:szCs w:val="32"/>
        </w:rPr>
        <w:t>群众满意。</w:t>
      </w:r>
    </w:p>
    <w:p>
      <w:pPr>
        <w:widowControl/>
        <w:spacing w:line="560" w:lineRule="exact"/>
        <w:ind w:firstLine="643" w:firstLineChars="200"/>
        <w:outlineLvl w:val="2"/>
        <w:rPr>
          <w:rFonts w:eastAsia="仿宋"/>
          <w:b/>
          <w:sz w:val="32"/>
          <w:szCs w:val="32"/>
        </w:rPr>
      </w:pPr>
      <w:r>
        <w:rPr>
          <w:rFonts w:eastAsia="仿宋"/>
          <w:b/>
          <w:sz w:val="32"/>
          <w:szCs w:val="32"/>
        </w:rPr>
        <w:t>3.项目资金情况</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本项目202</w:t>
      </w:r>
      <w:r>
        <w:rPr>
          <w:rFonts w:hint="eastAsia" w:ascii="仿宋" w:hAnsi="仿宋" w:eastAsia="仿宋" w:cs="仿宋"/>
          <w:sz w:val="32"/>
          <w:szCs w:val="32"/>
          <w:lang w:val="en-US" w:eastAsia="zh-CN"/>
        </w:rPr>
        <w:t>2</w:t>
      </w:r>
      <w:r>
        <w:rPr>
          <w:rFonts w:hint="eastAsia" w:ascii="仿宋" w:hAnsi="仿宋" w:eastAsia="仿宋" w:cs="仿宋"/>
          <w:sz w:val="32"/>
          <w:szCs w:val="32"/>
        </w:rPr>
        <w:t>年初批复预算资金</w:t>
      </w:r>
      <w:r>
        <w:rPr>
          <w:rFonts w:hint="eastAsia" w:ascii="仿宋" w:hAnsi="仿宋" w:eastAsia="仿宋" w:cs="仿宋"/>
          <w:sz w:val="32"/>
          <w:szCs w:val="32"/>
          <w:lang w:eastAsia="zh-CN"/>
        </w:rPr>
        <w:t>17,370.17</w:t>
      </w:r>
      <w:r>
        <w:rPr>
          <w:rFonts w:hint="eastAsia" w:ascii="仿宋" w:hAnsi="仿宋" w:eastAsia="仿宋" w:cs="仿宋"/>
          <w:sz w:val="32"/>
          <w:szCs w:val="32"/>
        </w:rPr>
        <w:t>万元，</w:t>
      </w:r>
      <w:r>
        <w:rPr>
          <w:rFonts w:hint="eastAsia" w:ascii="仿宋" w:hAnsi="仿宋" w:eastAsia="仿宋" w:cs="仿宋"/>
          <w:sz w:val="32"/>
          <w:szCs w:val="32"/>
          <w:lang w:val="en-US" w:eastAsia="zh-CN"/>
        </w:rPr>
        <w:t>年中调减指标1,633.72万元</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年本项目预算资金共计</w:t>
      </w:r>
      <w:r>
        <w:rPr>
          <w:rFonts w:hint="eastAsia" w:ascii="仿宋" w:hAnsi="仿宋" w:eastAsia="仿宋" w:cs="仿宋"/>
          <w:sz w:val="32"/>
          <w:szCs w:val="32"/>
          <w:lang w:eastAsia="zh-CN"/>
        </w:rPr>
        <w:t>15,736.45</w:t>
      </w:r>
      <w:r>
        <w:rPr>
          <w:rFonts w:hint="eastAsia" w:ascii="仿宋" w:hAnsi="仿宋" w:eastAsia="仿宋" w:cs="仿宋"/>
          <w:sz w:val="32"/>
          <w:szCs w:val="32"/>
        </w:rPr>
        <w:t>万元。</w:t>
      </w:r>
    </w:p>
    <w:p>
      <w:pPr>
        <w:widowControl/>
        <w:spacing w:line="560" w:lineRule="exact"/>
        <w:ind w:firstLine="643" w:firstLineChars="200"/>
        <w:jc w:val="left"/>
        <w:outlineLvl w:val="1"/>
        <w:rPr>
          <w:rFonts w:eastAsia="宋体"/>
          <w:color w:val="000000"/>
          <w:kern w:val="0"/>
          <w:sz w:val="24"/>
        </w:rPr>
      </w:pPr>
      <w:r>
        <w:rPr>
          <w:rFonts w:eastAsia="楷体"/>
          <w:b/>
          <w:bCs/>
          <w:color w:val="000000"/>
          <w:kern w:val="0"/>
          <w:sz w:val="32"/>
          <w:szCs w:val="32"/>
        </w:rPr>
        <w:t>（二）部门自评工作开展情况</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本次自评时间从202</w:t>
      </w:r>
      <w:r>
        <w:rPr>
          <w:rFonts w:hint="eastAsia" w:ascii="仿宋" w:hAnsi="仿宋" w:eastAsia="仿宋" w:cs="仿宋"/>
          <w:sz w:val="32"/>
          <w:szCs w:val="32"/>
          <w:lang w:val="en-US" w:eastAsia="zh-CN"/>
        </w:rPr>
        <w:t>3</w:t>
      </w:r>
      <w:r>
        <w:rPr>
          <w:rFonts w:hint="eastAsia" w:ascii="仿宋" w:hAnsi="仿宋" w:eastAsia="仿宋" w:cs="仿宋"/>
          <w:sz w:val="32"/>
          <w:szCs w:val="32"/>
        </w:rPr>
        <w:t>年4月</w:t>
      </w:r>
      <w:r>
        <w:rPr>
          <w:rFonts w:hint="eastAsia" w:ascii="仿宋" w:hAnsi="仿宋" w:eastAsia="仿宋" w:cs="仿宋"/>
          <w:sz w:val="32"/>
          <w:szCs w:val="32"/>
          <w:lang w:val="en-US" w:eastAsia="zh-CN"/>
        </w:rPr>
        <w:t>1</w:t>
      </w:r>
      <w:r>
        <w:rPr>
          <w:rFonts w:hint="eastAsia" w:ascii="仿宋" w:hAnsi="仿宋" w:eastAsia="仿宋" w:cs="仿宋"/>
          <w:sz w:val="32"/>
          <w:szCs w:val="32"/>
        </w:rPr>
        <w:t>日至202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日，历时2</w:t>
      </w:r>
      <w:r>
        <w:rPr>
          <w:rFonts w:hint="eastAsia" w:ascii="仿宋" w:hAnsi="仿宋" w:eastAsia="仿宋" w:cs="仿宋"/>
          <w:sz w:val="32"/>
          <w:szCs w:val="32"/>
          <w:lang w:val="en-US" w:eastAsia="zh-CN"/>
        </w:rPr>
        <w:t>0</w:t>
      </w:r>
      <w:r>
        <w:rPr>
          <w:rFonts w:hint="eastAsia" w:ascii="仿宋" w:hAnsi="仿宋" w:eastAsia="仿宋" w:cs="仿宋"/>
          <w:sz w:val="32"/>
          <w:szCs w:val="32"/>
        </w:rPr>
        <w:t>天。自评工作程序如下：</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（1）制定工作方案</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部门自评工作方案由财务部门会同第三方机构共同研究制订。根据部门主要负责同志要求和武汉经济技术开发区（汉南区）财政局发布的</w:t>
      </w:r>
      <w:bookmarkStart w:id="0" w:name="_Hlk102643360"/>
      <w:r>
        <w:rPr>
          <w:rFonts w:hint="eastAsia" w:ascii="仿宋" w:hAnsi="仿宋" w:eastAsia="仿宋" w:cs="仿宋"/>
          <w:sz w:val="32"/>
          <w:szCs w:val="32"/>
        </w:rPr>
        <w:t>《关于开展 2023年预算绩效评价及项目支出绩效运行监控的通知》（武经开〔202</w:t>
      </w: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val="en-US" w:eastAsia="zh-CN"/>
        </w:rPr>
        <w:t>10</w:t>
      </w:r>
      <w:r>
        <w:rPr>
          <w:rFonts w:hint="eastAsia" w:ascii="仿宋" w:hAnsi="仿宋" w:eastAsia="仿宋" w:cs="仿宋"/>
          <w:sz w:val="32"/>
          <w:szCs w:val="32"/>
        </w:rPr>
        <w:t>号）</w:t>
      </w:r>
      <w:bookmarkEnd w:id="0"/>
      <w:r>
        <w:rPr>
          <w:rFonts w:hint="eastAsia" w:ascii="仿宋" w:hAnsi="仿宋" w:eastAsia="仿宋" w:cs="仿宋"/>
          <w:sz w:val="32"/>
          <w:szCs w:val="32"/>
        </w:rPr>
        <w:t>启动部门项目自评工作。</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（2）组织实施自评</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财务部门会同第三方机构及时成立工作组，通过调研访谈、电话访谈等方式收集、核实数据和信息，并对这些数据和信息进行整理分析。</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（3）撰写部门自评项目结果</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在整理分析基础上，形成部门项目自评结果。</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（4）建立部门自评档案</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部门项目自评结果按时报送财政部门备案并及时归档备查。</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（三）绩效目标完成情况分析</w:t>
      </w:r>
    </w:p>
    <w:p>
      <w:pPr>
        <w:widowControl/>
        <w:spacing w:line="560" w:lineRule="exact"/>
        <w:ind w:firstLine="643" w:firstLineChars="200"/>
        <w:outlineLvl w:val="2"/>
        <w:rPr>
          <w:rFonts w:eastAsia="仿宋"/>
          <w:b/>
          <w:sz w:val="32"/>
          <w:szCs w:val="32"/>
        </w:rPr>
      </w:pPr>
      <w:r>
        <w:rPr>
          <w:rFonts w:eastAsia="仿宋"/>
          <w:b/>
          <w:sz w:val="32"/>
          <w:szCs w:val="32"/>
        </w:rPr>
        <w:t>1.预算执行情况分析（满分20分，得分</w:t>
      </w:r>
      <w:r>
        <w:rPr>
          <w:rFonts w:hint="eastAsia" w:eastAsia="仿宋"/>
          <w:b/>
          <w:sz w:val="32"/>
          <w:szCs w:val="32"/>
          <w:lang w:val="en-US" w:eastAsia="zh-CN"/>
        </w:rPr>
        <w:t>17.5</w:t>
      </w:r>
      <w:r>
        <w:rPr>
          <w:rFonts w:eastAsia="仿宋"/>
          <w:b/>
          <w:sz w:val="32"/>
          <w:szCs w:val="32"/>
        </w:rPr>
        <w:t>分）</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本项目202</w:t>
      </w:r>
      <w:r>
        <w:rPr>
          <w:rFonts w:hint="eastAsia" w:ascii="仿宋" w:hAnsi="仿宋" w:eastAsia="仿宋" w:cs="仿宋"/>
          <w:sz w:val="32"/>
          <w:szCs w:val="32"/>
          <w:lang w:val="en-US" w:eastAsia="zh-CN"/>
        </w:rPr>
        <w:t>2</w:t>
      </w:r>
      <w:r>
        <w:rPr>
          <w:rFonts w:hint="eastAsia" w:ascii="仿宋" w:hAnsi="仿宋" w:eastAsia="仿宋" w:cs="仿宋"/>
          <w:sz w:val="32"/>
          <w:szCs w:val="32"/>
        </w:rPr>
        <w:t>年实际到位资金</w:t>
      </w:r>
      <w:r>
        <w:rPr>
          <w:rFonts w:hint="eastAsia" w:ascii="仿宋" w:hAnsi="仿宋" w:eastAsia="仿宋" w:cs="仿宋"/>
          <w:sz w:val="32"/>
          <w:szCs w:val="32"/>
          <w:lang w:eastAsia="zh-CN"/>
        </w:rPr>
        <w:t>15,736.45</w:t>
      </w:r>
      <w:r>
        <w:rPr>
          <w:rFonts w:hint="eastAsia" w:ascii="仿宋" w:hAnsi="仿宋" w:eastAsia="仿宋" w:cs="仿宋"/>
          <w:sz w:val="32"/>
          <w:szCs w:val="32"/>
        </w:rPr>
        <w:t>万元，资金到位率100%。实际支出资金13,795.09万元，预算执行率为</w:t>
      </w:r>
      <w:r>
        <w:rPr>
          <w:rFonts w:hint="eastAsia" w:ascii="仿宋" w:hAnsi="仿宋" w:eastAsia="仿宋" w:cs="仿宋"/>
          <w:sz w:val="32"/>
          <w:szCs w:val="32"/>
          <w:lang w:eastAsia="zh-CN"/>
        </w:rPr>
        <w:t>87.66%</w:t>
      </w:r>
      <w:r>
        <w:rPr>
          <w:rFonts w:hint="eastAsia" w:ascii="仿宋" w:hAnsi="仿宋" w:eastAsia="仿宋" w:cs="仿宋"/>
          <w:sz w:val="32"/>
          <w:szCs w:val="32"/>
        </w:rPr>
        <w:t>，预算执行率</w:t>
      </w:r>
      <w:r>
        <w:rPr>
          <w:rFonts w:hint="eastAsia" w:ascii="仿宋" w:hAnsi="仿宋" w:eastAsia="仿宋" w:cs="仿宋"/>
          <w:sz w:val="32"/>
          <w:szCs w:val="32"/>
          <w:lang w:val="en-US" w:eastAsia="zh-CN"/>
        </w:rPr>
        <w:t>一般</w:t>
      </w:r>
      <w:r>
        <w:rPr>
          <w:rFonts w:hint="eastAsia" w:ascii="仿宋" w:hAnsi="仿宋" w:eastAsia="仿宋" w:cs="仿宋"/>
          <w:sz w:val="32"/>
          <w:szCs w:val="32"/>
        </w:rPr>
        <w:t>。</w:t>
      </w:r>
    </w:p>
    <w:p>
      <w:pPr>
        <w:widowControl/>
        <w:spacing w:line="560" w:lineRule="exact"/>
        <w:ind w:firstLine="643" w:firstLineChars="200"/>
        <w:outlineLvl w:val="2"/>
        <w:rPr>
          <w:rFonts w:eastAsia="仿宋"/>
          <w:b/>
          <w:sz w:val="32"/>
          <w:szCs w:val="32"/>
        </w:rPr>
      </w:pPr>
      <w:r>
        <w:rPr>
          <w:rFonts w:hint="eastAsia" w:eastAsia="仿宋"/>
          <w:b/>
          <w:sz w:val="32"/>
          <w:szCs w:val="32"/>
          <w:lang w:val="en-US" w:eastAsia="zh-CN"/>
        </w:rPr>
        <w:t>2.</w:t>
      </w:r>
      <w:r>
        <w:rPr>
          <w:rFonts w:eastAsia="仿宋"/>
          <w:b/>
          <w:sz w:val="32"/>
          <w:szCs w:val="32"/>
        </w:rPr>
        <w:t>绩效目标完成情况分析（满分</w:t>
      </w:r>
      <w:r>
        <w:rPr>
          <w:rFonts w:hint="eastAsia" w:eastAsia="仿宋"/>
          <w:b/>
          <w:sz w:val="32"/>
          <w:szCs w:val="32"/>
          <w:lang w:val="en-US" w:eastAsia="zh-CN"/>
        </w:rPr>
        <w:t>80</w:t>
      </w:r>
      <w:r>
        <w:rPr>
          <w:rFonts w:eastAsia="仿宋"/>
          <w:b/>
          <w:sz w:val="32"/>
          <w:szCs w:val="32"/>
        </w:rPr>
        <w:t>分，得分</w:t>
      </w:r>
      <w:r>
        <w:rPr>
          <w:rFonts w:hint="eastAsia" w:eastAsia="仿宋"/>
          <w:b/>
          <w:sz w:val="32"/>
          <w:szCs w:val="32"/>
          <w:lang w:val="en-US" w:eastAsia="zh-CN"/>
        </w:rPr>
        <w:t>80</w:t>
      </w:r>
      <w:r>
        <w:rPr>
          <w:rFonts w:eastAsia="仿宋"/>
          <w:b/>
          <w:sz w:val="32"/>
          <w:szCs w:val="32"/>
        </w:rPr>
        <w:t>分）</w:t>
      </w:r>
    </w:p>
    <w:p>
      <w:pPr>
        <w:widowControl/>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（1）产出指标完成情况分析（满分</w:t>
      </w:r>
      <w:r>
        <w:rPr>
          <w:rFonts w:hint="eastAsia" w:ascii="仿宋" w:hAnsi="仿宋" w:eastAsia="仿宋" w:cs="仿宋"/>
          <w:sz w:val="32"/>
          <w:szCs w:val="32"/>
          <w:lang w:val="en-US" w:eastAsia="zh-CN"/>
        </w:rPr>
        <w:t>60</w:t>
      </w:r>
      <w:r>
        <w:rPr>
          <w:rFonts w:hint="eastAsia" w:ascii="仿宋" w:hAnsi="仿宋" w:eastAsia="仿宋" w:cs="仿宋"/>
          <w:sz w:val="32"/>
          <w:szCs w:val="32"/>
        </w:rPr>
        <w:t>分，得分</w:t>
      </w:r>
      <w:r>
        <w:rPr>
          <w:rFonts w:hint="eastAsia" w:ascii="仿宋" w:hAnsi="仿宋" w:eastAsia="仿宋" w:cs="仿宋"/>
          <w:sz w:val="32"/>
          <w:szCs w:val="32"/>
          <w:lang w:val="en-US" w:eastAsia="zh-CN"/>
        </w:rPr>
        <w:t>60</w:t>
      </w:r>
      <w:r>
        <w:rPr>
          <w:rFonts w:hint="eastAsia" w:ascii="仿宋" w:hAnsi="仿宋" w:eastAsia="仿宋" w:cs="仿宋"/>
          <w:sz w:val="32"/>
          <w:szCs w:val="32"/>
        </w:rPr>
        <w:t>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①养护管理达标次数：满分4分，得分4分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养护管理达标次数≥92%。2022年园林养护工作开展的工作有：乔灌木修剪、除草清杂、补植补栽、垃圾清理、枯死树清理、病虫害防治、抗旱浇水等工作，根据园林中心检查，垃圾、枯死株、黄土裸露、断枝、枯枝、杂草、病虫害问题时有发生，养护管理达标次数≥95%，整改合格率为100%，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②物业服务管理达标：满分4分，得分4分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物业服务管理达标≥95%。根据《园林亮化巡查、保洁、物业管理服务工作考核方案》，武汉经开投资有限公司等物业单位考核结果均为优秀，物业服务管理达标≥95%。相关物业单位在落实落实市、区疫情防控指挥部管理规定、设施设备维修及更换、停车场日常的保洁等方面的管理工作完成较好，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③园林绿化资源普查完成率：满分4分，得分4分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园林绿化资源普查完成率≥100%。武汉市林业调查规划设计院有限公司完成了武汉经济技术开发区（汉南区）园林绿化资源动态监测项目的外业调查、内业数据处理与集成，编制了《武汉经济技术开发区（汉南区）园林绿化资源动态监测成果报告（2021）》，达到数据入库条件，完成了合同约定的工作内容。监测成果通过了自查质检、区级检查、市级专班检查，符合《武汉市园林绿化资源动态监测实施细则》关于成果质量的相关要求，监测成果资料齐全、内容完整，园林绿化资源普查完成率≥100%，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④新建绿化面积：满分4分，得分4分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目标为新建绿化面积≥2666.8平方米。2022年6月14日，枫树新路（枫三－枫五）绿化改造工程根据验收，已完成绿化面积2666.8平方米，完成目标。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⑤草坪植被覆盖率：满分4分，得分4分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目标为草坪植被覆盖率≥97%。通过枫树新</w:t>
      </w:r>
      <w:bookmarkStart w:id="1" w:name="_GoBack"/>
      <w:bookmarkEnd w:id="1"/>
      <w:r>
        <w:rPr>
          <w:rFonts w:hint="eastAsia" w:ascii="仿宋" w:hAnsi="仿宋" w:eastAsia="仿宋" w:cs="仿宋"/>
          <w:sz w:val="32"/>
          <w:szCs w:val="32"/>
          <w:lang w:val="en-US" w:eastAsia="zh-CN"/>
        </w:rPr>
        <w:t>路（枫三－枫五）绿化改造工程实施，原有地被植物移除2666.8㎡，移栽香樟311棵，移栽花石榴591棵，栽植香樟315棵，栽植红叶石楠958.5㎡，栽植南天竹1001.4m²，栽植葱兰706.9m²。项目所涉及地块草坪植被覆盖率≥97%，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⑥经开区（汉南区)绿地系统规划编制：满分4分，得分4分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目标为完成经开区(汉南区)绿地系统规划编制，武汉市园林建筑规划设计研究院有限公司已经完成经开区(汉南区)绿地系统规划编制工作，完成目标。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⑦小单验收合格率：满分4分，得分4分</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小单验收合格率达标。2022年实施的小单项目主要有修复东风大道、太子湖路等树穴篦子项目，更换北太子湖公园B标、南太子湖北岸沟盖板项目，美的集团红外线道路绿化迁移项目，修剪经开区（汉南区）28条道路、3个社区行道树项目，新建公厕周边绿化提升项目，枫树北路与枫树三路交叉口隙地游园和枫树湾社区门前花坛改造提升工程，公厕驿站配套设施维修、疏通及采购安装工程，三角湖北侧公园二期完善工程，车轮广场、纱帽广场地面维修项目，冬季行道树修剪项目，碧湖路护栏安装及东风动力总厂门前绿化工程项目，全力一路塑木铺装恢复项目，米兰小镇外道路绿化修复项目，海尔工业园门口两侧绿化修缮工程项目，兴二路隙地游园工程项目，创业路、兴华路、北太子湖公园停车场等道路及广场安装护栏项目等十余个项目，以上项目均按项目实施进度完成验收，工程质量达到合同有关技术规范要求，完成目标。</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⑧花卉、金秋菊展竣工验收率：满分4分，得分4分</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目标为花卉、金秋菊展竣工验收率合格。第38届金秋菊展等花卉项目均完成了竣工验收和工程结算审核，花卉、金秋菊展竣工验收率合格，完成目标。</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⑨大树复壮及景观修复项目工程质量：满分4分，得分4分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大树复壮及景观修复项目工程质量合格。大树复壮及景观修复项目由武汉市经济技术开发区（汉南区）园林管理中心委托武汉绿岛园林股份有限公司负责实施。本工程经绿化主管部门、代建单位、设计单位、监理公司、施工单位等有关部门或单位依照合同要求和国家有关规范共同验收，并由武汉江南项目建设管理有限公司出具了《项目质量评估报告》，工程质量达到合同及有关技术规范要求，完成目标。</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⑩满足市园林局绩效考核的养护管理规定：满分4分，得分4分</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满足市园林局绩效考核的养护管理规定。在绿化养护管理过程中，针对市局第三方考核、区城管督导和自查发现的问题，及时督办养护企业进行问题整改，整改合格率达100%，养护综合排名在全市前三，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⑪绿化养护等级：满分4分，得分4分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目标为绿化养护等级达一级。枫树新路(枫树三路－枫树五路)均按照市街绿地一级标准实施养护，完成目标。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⑫项目竣工验收合格率：满分4分，得分4分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w:t>
      </w:r>
      <w:r>
        <w:rPr>
          <w:rFonts w:hint="default" w:ascii="仿宋" w:hAnsi="仿宋" w:eastAsia="仿宋" w:cs="仿宋"/>
          <w:sz w:val="32"/>
          <w:szCs w:val="32"/>
          <w:lang w:val="en-US" w:eastAsia="zh-CN"/>
        </w:rPr>
        <w:t>项目竣工验收合格率</w:t>
      </w:r>
      <w:r>
        <w:rPr>
          <w:rFonts w:hint="eastAsia" w:ascii="仿宋" w:hAnsi="仿宋" w:eastAsia="仿宋" w:cs="仿宋"/>
          <w:sz w:val="32"/>
          <w:szCs w:val="32"/>
          <w:lang w:val="en-US" w:eastAsia="zh-CN"/>
        </w:rPr>
        <w:t>≥100%。经绿化主管部门、代建单独、监理单位、施工单位等有关部门或单位依照合同要求和国家有关规范共同验收，并由湖北楚元工程建设咨询有限公司出具了《项目监理评估报告》，工程质量达到合同及有关技术规范要求，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⑬项目按期完成率：满分4分，得分4分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项目按期完成。通过组织招投标，园林绿化维护单位主要为湖北御沣源环境工程有限公司和武汉绿岛园林股份有限公司，养护管理期限自2022年2月25日至2023年2月24日，共12个月。项目已按进度完成，并支付相关费用，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⑭普查及义务植树及时有效：满分4分，得分4分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目标为普查及义务植树及时有效。园林绿化资源动态监测及时并通过验收，2022年完成栽植苗木3.6万株，新增造林452.31亩，义务植树及时有效，完成目标。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⑮项目按期完成率：满分4分，得分4分</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目标为项目按期完成率≥100%，2022年6月14日，武汉新南林生态园林绿化工程有限公司完成枫树新路（枫三－枫五）绿化改造工程约定建设内容，并通过验收，目按期完成率100%，完成目标。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（2）效益指标完成情况分析（满分</w:t>
      </w:r>
      <w:r>
        <w:rPr>
          <w:rFonts w:hint="eastAsia" w:ascii="仿宋" w:hAnsi="仿宋" w:eastAsia="仿宋" w:cs="仿宋"/>
          <w:sz w:val="32"/>
          <w:szCs w:val="32"/>
          <w:lang w:val="en-US" w:eastAsia="zh-CN"/>
        </w:rPr>
        <w:t>12分，得分</w:t>
      </w:r>
      <w:r>
        <w:rPr>
          <w:rFonts w:hint="eastAsia" w:ascii="仿宋" w:hAnsi="仿宋" w:eastAsia="仿宋" w:cs="仿宋"/>
          <w:sz w:val="32"/>
          <w:szCs w:val="32"/>
          <w:lang w:val="en-US" w:eastAsia="zh-CN"/>
        </w:rPr>
        <w:t>12分）</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①</w:t>
      </w:r>
      <w:r>
        <w:rPr>
          <w:rFonts w:hint="default" w:ascii="仿宋" w:hAnsi="仿宋" w:eastAsia="仿宋" w:cs="仿宋"/>
          <w:sz w:val="32"/>
          <w:szCs w:val="32"/>
          <w:lang w:val="en-US" w:eastAsia="zh-CN"/>
        </w:rPr>
        <w:t>生态环境改善度</w:t>
      </w:r>
      <w:r>
        <w:rPr>
          <w:rFonts w:hint="eastAsia" w:ascii="仿宋" w:hAnsi="仿宋" w:eastAsia="仿宋" w:cs="仿宋"/>
          <w:sz w:val="32"/>
          <w:szCs w:val="32"/>
          <w:lang w:val="en-US" w:eastAsia="zh-CN"/>
        </w:rPr>
        <w:t>：满分6分，得分6分</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目标为生态环境明显改善。项目范围内的绿化养护管理覆盖率100%，通过实施枫树新路(枫树三路－枫树五路)绿化等改造工程，为居民提供了优质的绿化环境，生态环境明显改善，完成目标。</w:t>
      </w:r>
    </w:p>
    <w:p>
      <w:pPr>
        <w:widowControl/>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②</w:t>
      </w:r>
      <w:r>
        <w:rPr>
          <w:rFonts w:hint="default" w:ascii="仿宋" w:hAnsi="仿宋" w:eastAsia="仿宋" w:cs="仿宋"/>
          <w:sz w:val="32"/>
          <w:szCs w:val="32"/>
          <w:lang w:val="en-US" w:eastAsia="zh-CN"/>
        </w:rPr>
        <w:t>病虫害危害减少</w:t>
      </w:r>
      <w:r>
        <w:rPr>
          <w:rFonts w:hint="eastAsia" w:ascii="仿宋" w:hAnsi="仿宋" w:eastAsia="仿宋" w:cs="仿宋"/>
          <w:sz w:val="32"/>
          <w:szCs w:val="32"/>
          <w:lang w:val="en-US" w:eastAsia="zh-CN"/>
        </w:rPr>
        <w:t>：满分6分，得分6分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w:t>
      </w:r>
      <w:r>
        <w:rPr>
          <w:rFonts w:hint="default" w:ascii="仿宋" w:hAnsi="仿宋" w:eastAsia="仿宋" w:cs="仿宋"/>
          <w:sz w:val="32"/>
          <w:szCs w:val="32"/>
          <w:lang w:val="en-US" w:eastAsia="zh-CN"/>
        </w:rPr>
        <w:t>病虫害危害减少</w:t>
      </w:r>
      <w:r>
        <w:rPr>
          <w:rFonts w:hint="eastAsia" w:ascii="仿宋" w:hAnsi="仿宋" w:eastAsia="仿宋" w:cs="仿宋"/>
          <w:sz w:val="32"/>
          <w:szCs w:val="32"/>
          <w:lang w:val="en-US" w:eastAsia="zh-CN"/>
        </w:rPr>
        <w:t>。中心委托武汉升华白蚁防治有限公司进行白蚁防治工作，通报湖北御沣源环境工程有限公司和武汉绿岛园林股份有限公司绿化病虫害治理工作，有效防治病虫害2.19万m²，</w:t>
      </w:r>
      <w:r>
        <w:rPr>
          <w:rFonts w:hint="default" w:ascii="仿宋" w:hAnsi="仿宋" w:eastAsia="仿宋" w:cs="仿宋"/>
          <w:sz w:val="32"/>
          <w:szCs w:val="32"/>
          <w:lang w:val="en-US" w:eastAsia="zh-CN"/>
        </w:rPr>
        <w:t>病虫害危害</w:t>
      </w:r>
      <w:r>
        <w:rPr>
          <w:rFonts w:hint="eastAsia" w:ascii="仿宋" w:hAnsi="仿宋" w:eastAsia="仿宋" w:cs="仿宋"/>
          <w:sz w:val="32"/>
          <w:szCs w:val="32"/>
          <w:lang w:val="en-US" w:eastAsia="zh-CN"/>
        </w:rPr>
        <w:t>不断</w:t>
      </w:r>
      <w:r>
        <w:rPr>
          <w:rFonts w:hint="default" w:ascii="仿宋" w:hAnsi="仿宋" w:eastAsia="仿宋" w:cs="仿宋"/>
          <w:sz w:val="32"/>
          <w:szCs w:val="32"/>
          <w:lang w:val="en-US" w:eastAsia="zh-CN"/>
        </w:rPr>
        <w:t>减少</w:t>
      </w:r>
      <w:r>
        <w:rPr>
          <w:rFonts w:hint="eastAsia" w:ascii="仿宋" w:hAnsi="仿宋" w:eastAsia="仿宋" w:cs="仿宋"/>
          <w:sz w:val="32"/>
          <w:szCs w:val="32"/>
          <w:lang w:val="en-US" w:eastAsia="zh-CN"/>
        </w:rPr>
        <w:t>，完成目标。</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（3）满意度指标完成情况分析（满分8分，得分8分）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①群众满意度：满分8分，得分8分</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目标为市民对城市绿化满意。2022年满意度调查中，市民对我区城市绿化均表示满意，完成目标。</w:t>
      </w:r>
    </w:p>
    <w:p>
      <w:pPr>
        <w:widowControl/>
        <w:numPr>
          <w:ilvl w:val="0"/>
          <w:numId w:val="1"/>
        </w:numPr>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上年度部门自评结果应用情况</w:t>
      </w:r>
    </w:p>
    <w:p>
      <w:pPr>
        <w:widowControl/>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本项目上年度实施了绩效自评并形成了项目自评结果，但未能较好应用上年度绩效自评结果。上年度绩效自评提出成本指标“预算执行率”与预算执行情况内容重复，应删除，本年度“预算执行率”仍存在。</w:t>
      </w:r>
    </w:p>
    <w:p>
      <w:pPr>
        <w:widowControl/>
        <w:spacing w:line="560" w:lineRule="exact"/>
        <w:ind w:firstLine="643" w:firstLineChars="200"/>
        <w:jc w:val="left"/>
        <w:outlineLvl w:val="1"/>
        <w:rPr>
          <w:rFonts w:eastAsia="楷体"/>
          <w:b/>
          <w:bCs/>
          <w:color w:val="000000"/>
          <w:kern w:val="0"/>
          <w:sz w:val="32"/>
          <w:szCs w:val="32"/>
        </w:rPr>
      </w:pPr>
      <w:r>
        <w:rPr>
          <w:rFonts w:eastAsia="楷体"/>
          <w:b/>
          <w:bCs/>
          <w:color w:val="000000"/>
          <w:kern w:val="0"/>
          <w:sz w:val="32"/>
          <w:szCs w:val="32"/>
        </w:rPr>
        <w:t>（五）其他佐证材料</w:t>
      </w:r>
    </w:p>
    <w:p>
      <w:pPr>
        <w:widowControl/>
        <w:spacing w:line="560" w:lineRule="exact"/>
        <w:ind w:firstLine="640" w:firstLineChars="200"/>
      </w:pPr>
      <w:r>
        <w:rPr>
          <w:rFonts w:hint="eastAsia" w:ascii="仿宋" w:hAnsi="仿宋" w:eastAsia="仿宋" w:cs="仿宋"/>
          <w:sz w:val="32"/>
          <w:szCs w:val="32"/>
          <w:lang w:val="en-US" w:eastAsia="zh-CN"/>
        </w:rPr>
        <w:t>无。</w:t>
      </w:r>
    </w:p>
    <w:p>
      <w:pPr>
        <w:widowControl/>
        <w:spacing w:line="500" w:lineRule="exact"/>
        <w:ind w:firstLine="480" w:firstLineChars="200"/>
        <w:rPr>
          <w:rFonts w:eastAsia="宋体"/>
          <w:color w:val="000000"/>
          <w:kern w:val="0"/>
          <w:sz w:val="24"/>
        </w:rPr>
      </w:pPr>
      <w:r>
        <w:rPr>
          <w:rFonts w:eastAsia="宋体"/>
          <w:color w:val="000000"/>
          <w:kern w:val="0"/>
          <w:sz w:val="24"/>
        </w:rPr>
        <w:t xml:space="preserve">    </w:t>
      </w:r>
      <w:r>
        <w:rPr>
          <w:rFonts w:hint="eastAsia" w:eastAsia="宋体"/>
          <w:color w:val="000000"/>
          <w:kern w:val="0"/>
          <w:sz w:val="24"/>
        </w:rPr>
        <w:t xml:space="preserve">    </w:t>
      </w:r>
      <w:r>
        <w:rPr>
          <w:rFonts w:eastAsia="宋体"/>
          <w:color w:val="000000"/>
          <w:kern w:val="0"/>
          <w:sz w:val="24"/>
        </w:rPr>
        <w:t xml:space="preserve"> </w:t>
      </w:r>
    </w:p>
    <w:p>
      <w:pPr>
        <w:widowControl/>
        <w:spacing w:line="500" w:lineRule="exact"/>
        <w:ind w:firstLine="480" w:firstLineChars="200"/>
        <w:rPr>
          <w:rFonts w:eastAsia="宋体"/>
          <w:color w:val="000000"/>
          <w:kern w:val="0"/>
          <w:sz w:val="24"/>
        </w:rPr>
      </w:pPr>
    </w:p>
    <w:p>
      <w:pPr>
        <w:widowControl/>
        <w:spacing w:line="500" w:lineRule="exact"/>
        <w:ind w:firstLine="480" w:firstLineChars="200"/>
        <w:rPr>
          <w:rFonts w:eastAsia="宋体"/>
          <w:color w:val="000000"/>
          <w:kern w:val="0"/>
          <w:sz w:val="24"/>
        </w:rPr>
      </w:pPr>
    </w:p>
    <w:p>
      <w:pPr>
        <w:widowControl/>
        <w:spacing w:line="500" w:lineRule="exact"/>
        <w:ind w:firstLine="640" w:firstLineChars="200"/>
        <w:jc w:val="right"/>
        <w:rPr>
          <w:rFonts w:hint="eastAsia" w:eastAsia="宋体"/>
          <w:sz w:val="32"/>
          <w:szCs w:val="32"/>
          <w:lang w:eastAsia="zh-CN"/>
        </w:rPr>
      </w:pPr>
      <w:r>
        <w:rPr>
          <w:rFonts w:hint="eastAsia" w:eastAsia="仿宋"/>
          <w:sz w:val="32"/>
          <w:szCs w:val="32"/>
          <w:lang w:eastAsia="zh-CN"/>
        </w:rPr>
        <w:t>武汉经济技术开发区（汉南区）住房和城乡建设局</w:t>
      </w:r>
    </w:p>
    <w:p>
      <w:pPr>
        <w:widowControl/>
        <w:spacing w:line="500" w:lineRule="exact"/>
        <w:ind w:firstLine="640" w:firstLineChars="200"/>
        <w:jc w:val="right"/>
        <w:rPr>
          <w:rFonts w:eastAsia="宋体"/>
          <w:color w:val="000000"/>
          <w:kern w:val="0"/>
          <w:sz w:val="24"/>
        </w:rPr>
      </w:pPr>
      <w:r>
        <w:rPr>
          <w:rFonts w:hint="eastAsia" w:eastAsia="仿宋"/>
          <w:sz w:val="32"/>
          <w:szCs w:val="32"/>
        </w:rPr>
        <w:t xml:space="preserve">                    </w:t>
      </w:r>
      <w:r>
        <w:rPr>
          <w:rFonts w:hint="eastAsia" w:eastAsia="宋体"/>
          <w:color w:val="000000"/>
          <w:kern w:val="0"/>
          <w:sz w:val="24"/>
        </w:rPr>
        <w:t xml:space="preserve">    </w:t>
      </w:r>
      <w:r>
        <w:rPr>
          <w:rFonts w:eastAsia="宋体"/>
          <w:color w:val="000000"/>
          <w:kern w:val="0"/>
          <w:sz w:val="24"/>
        </w:rPr>
        <w:t xml:space="preserve">            </w:t>
      </w:r>
      <w:r>
        <w:rPr>
          <w:rFonts w:hint="eastAsia" w:eastAsia="仿宋"/>
          <w:sz w:val="32"/>
          <w:szCs w:val="32"/>
        </w:rPr>
        <w:t xml:space="preserve"> </w:t>
      </w:r>
      <w:r>
        <w:rPr>
          <w:rFonts w:eastAsia="仿宋"/>
          <w:sz w:val="32"/>
          <w:szCs w:val="32"/>
        </w:rPr>
        <w:t xml:space="preserve"> 202</w:t>
      </w:r>
      <w:r>
        <w:rPr>
          <w:rFonts w:hint="eastAsia" w:eastAsia="仿宋"/>
          <w:sz w:val="32"/>
          <w:szCs w:val="32"/>
          <w:lang w:val="en-US" w:eastAsia="zh-CN"/>
        </w:rPr>
        <w:t>3</w:t>
      </w:r>
      <w:r>
        <w:rPr>
          <w:rFonts w:eastAsia="仿宋"/>
          <w:sz w:val="32"/>
          <w:szCs w:val="32"/>
        </w:rPr>
        <w:t>年</w:t>
      </w:r>
      <w:r>
        <w:rPr>
          <w:rFonts w:hint="eastAsia" w:eastAsia="仿宋"/>
          <w:sz w:val="32"/>
          <w:szCs w:val="32"/>
          <w:lang w:val="en-US" w:eastAsia="zh-CN"/>
        </w:rPr>
        <w:t>4</w:t>
      </w:r>
      <w:r>
        <w:rPr>
          <w:rFonts w:eastAsia="仿宋"/>
          <w:sz w:val="32"/>
          <w:szCs w:val="32"/>
        </w:rPr>
        <w:t>月</w:t>
      </w:r>
      <w:r>
        <w:rPr>
          <w:rFonts w:hint="eastAsia" w:eastAsia="仿宋"/>
          <w:sz w:val="32"/>
          <w:szCs w:val="32"/>
          <w:lang w:val="en-US" w:eastAsia="zh-CN"/>
        </w:rPr>
        <w:t>20</w:t>
      </w:r>
      <w:r>
        <w:rPr>
          <w:rFonts w:eastAsia="仿宋"/>
          <w:sz w:val="32"/>
          <w:szCs w:val="32"/>
        </w:rPr>
        <w:t>日</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12</w:t>
    </w:r>
    <w:r>
      <w:rPr>
        <w:lang w:val="zh-CN"/>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2E125F"/>
    <w:multiLevelType w:val="singleLevel"/>
    <w:tmpl w:val="D12E125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mMDYwYzNjNzI5ODA4ZmI0NjA1NjA5YTYyZmQ3NTgifQ=="/>
  </w:docVars>
  <w:rsids>
    <w:rsidRoot w:val="00F57F82"/>
    <w:rsid w:val="000101E1"/>
    <w:rsid w:val="00020084"/>
    <w:rsid w:val="00057FFB"/>
    <w:rsid w:val="000732DA"/>
    <w:rsid w:val="00075CDC"/>
    <w:rsid w:val="000B1E8F"/>
    <w:rsid w:val="000E5FBA"/>
    <w:rsid w:val="000F5302"/>
    <w:rsid w:val="00103574"/>
    <w:rsid w:val="00103D16"/>
    <w:rsid w:val="00115B6A"/>
    <w:rsid w:val="00121C7C"/>
    <w:rsid w:val="00164D84"/>
    <w:rsid w:val="001C5A40"/>
    <w:rsid w:val="001D628A"/>
    <w:rsid w:val="001E4260"/>
    <w:rsid w:val="00203D57"/>
    <w:rsid w:val="00250053"/>
    <w:rsid w:val="00287C3C"/>
    <w:rsid w:val="002C6A3B"/>
    <w:rsid w:val="002F629B"/>
    <w:rsid w:val="00332F8B"/>
    <w:rsid w:val="0035287C"/>
    <w:rsid w:val="003829C8"/>
    <w:rsid w:val="0039432D"/>
    <w:rsid w:val="003A26A2"/>
    <w:rsid w:val="003C6374"/>
    <w:rsid w:val="00414ED7"/>
    <w:rsid w:val="00415F7C"/>
    <w:rsid w:val="004220C5"/>
    <w:rsid w:val="004531B5"/>
    <w:rsid w:val="004C1EAA"/>
    <w:rsid w:val="00512544"/>
    <w:rsid w:val="005D07CE"/>
    <w:rsid w:val="005D3818"/>
    <w:rsid w:val="00664719"/>
    <w:rsid w:val="00696090"/>
    <w:rsid w:val="006A453E"/>
    <w:rsid w:val="006B653B"/>
    <w:rsid w:val="006C117B"/>
    <w:rsid w:val="007553C7"/>
    <w:rsid w:val="00785AF7"/>
    <w:rsid w:val="007A1DC2"/>
    <w:rsid w:val="007C119C"/>
    <w:rsid w:val="007D7B7E"/>
    <w:rsid w:val="008271A8"/>
    <w:rsid w:val="00883725"/>
    <w:rsid w:val="00895183"/>
    <w:rsid w:val="008A20F2"/>
    <w:rsid w:val="008B50FA"/>
    <w:rsid w:val="008F74D5"/>
    <w:rsid w:val="009D04D8"/>
    <w:rsid w:val="009F652F"/>
    <w:rsid w:val="00A32FDD"/>
    <w:rsid w:val="00A72CA8"/>
    <w:rsid w:val="00AA2B82"/>
    <w:rsid w:val="00AC315F"/>
    <w:rsid w:val="00BA14B8"/>
    <w:rsid w:val="00BA262C"/>
    <w:rsid w:val="00BA347B"/>
    <w:rsid w:val="00C95A35"/>
    <w:rsid w:val="00CC152C"/>
    <w:rsid w:val="00CD5DD9"/>
    <w:rsid w:val="00CF2199"/>
    <w:rsid w:val="00D63908"/>
    <w:rsid w:val="00DA29F4"/>
    <w:rsid w:val="00DD09A2"/>
    <w:rsid w:val="00DD16E3"/>
    <w:rsid w:val="00DE2F6A"/>
    <w:rsid w:val="00E005A8"/>
    <w:rsid w:val="00E02E05"/>
    <w:rsid w:val="00E54B40"/>
    <w:rsid w:val="00E74336"/>
    <w:rsid w:val="00EC2181"/>
    <w:rsid w:val="00EC34E0"/>
    <w:rsid w:val="00ED6D53"/>
    <w:rsid w:val="00EE6F1A"/>
    <w:rsid w:val="00F10473"/>
    <w:rsid w:val="00F437B4"/>
    <w:rsid w:val="00F57F82"/>
    <w:rsid w:val="00F75963"/>
    <w:rsid w:val="00F81D36"/>
    <w:rsid w:val="00FA357A"/>
    <w:rsid w:val="00FF2111"/>
    <w:rsid w:val="01745D0A"/>
    <w:rsid w:val="01FF3C7D"/>
    <w:rsid w:val="02C86339"/>
    <w:rsid w:val="03623055"/>
    <w:rsid w:val="037D0BC8"/>
    <w:rsid w:val="03CB0C86"/>
    <w:rsid w:val="04613167"/>
    <w:rsid w:val="04673CA2"/>
    <w:rsid w:val="050163A6"/>
    <w:rsid w:val="07E640F0"/>
    <w:rsid w:val="0845082D"/>
    <w:rsid w:val="094115EA"/>
    <w:rsid w:val="096A663E"/>
    <w:rsid w:val="09E965F2"/>
    <w:rsid w:val="0A130CF6"/>
    <w:rsid w:val="0A87714B"/>
    <w:rsid w:val="0AA2532E"/>
    <w:rsid w:val="0CBF575D"/>
    <w:rsid w:val="0D1923E6"/>
    <w:rsid w:val="0D660F6F"/>
    <w:rsid w:val="0ECA2EFA"/>
    <w:rsid w:val="0F6A2898"/>
    <w:rsid w:val="0F9652C0"/>
    <w:rsid w:val="0FB370D5"/>
    <w:rsid w:val="0FD13D36"/>
    <w:rsid w:val="0FEA60B6"/>
    <w:rsid w:val="10426B40"/>
    <w:rsid w:val="10DB57E4"/>
    <w:rsid w:val="113118BF"/>
    <w:rsid w:val="116C0B49"/>
    <w:rsid w:val="11D7196B"/>
    <w:rsid w:val="130E2450"/>
    <w:rsid w:val="13141499"/>
    <w:rsid w:val="13511532"/>
    <w:rsid w:val="139840D3"/>
    <w:rsid w:val="143E091F"/>
    <w:rsid w:val="14865FC8"/>
    <w:rsid w:val="150C2DB0"/>
    <w:rsid w:val="154928C9"/>
    <w:rsid w:val="15DB39EC"/>
    <w:rsid w:val="17C34C75"/>
    <w:rsid w:val="17F906DA"/>
    <w:rsid w:val="18F25DD8"/>
    <w:rsid w:val="1A89451A"/>
    <w:rsid w:val="1B515EE3"/>
    <w:rsid w:val="1BB80B76"/>
    <w:rsid w:val="1C125FA5"/>
    <w:rsid w:val="1C893E9E"/>
    <w:rsid w:val="1CE94882"/>
    <w:rsid w:val="1D436783"/>
    <w:rsid w:val="1E3F631C"/>
    <w:rsid w:val="1E761F05"/>
    <w:rsid w:val="1EB85DB8"/>
    <w:rsid w:val="1F7F7BAF"/>
    <w:rsid w:val="1FC7205C"/>
    <w:rsid w:val="20522F58"/>
    <w:rsid w:val="20745325"/>
    <w:rsid w:val="211537CA"/>
    <w:rsid w:val="21167BF2"/>
    <w:rsid w:val="21632834"/>
    <w:rsid w:val="219D6ED7"/>
    <w:rsid w:val="21EB43A1"/>
    <w:rsid w:val="226263B1"/>
    <w:rsid w:val="228B3D05"/>
    <w:rsid w:val="24822003"/>
    <w:rsid w:val="24E4263B"/>
    <w:rsid w:val="27125C45"/>
    <w:rsid w:val="276E7926"/>
    <w:rsid w:val="27AB4F08"/>
    <w:rsid w:val="286D5E37"/>
    <w:rsid w:val="28981D0D"/>
    <w:rsid w:val="2AC72633"/>
    <w:rsid w:val="2BB703D7"/>
    <w:rsid w:val="2C11353F"/>
    <w:rsid w:val="2D3025F2"/>
    <w:rsid w:val="2DF34CC0"/>
    <w:rsid w:val="2F794830"/>
    <w:rsid w:val="30E2719F"/>
    <w:rsid w:val="3381719A"/>
    <w:rsid w:val="34AE5749"/>
    <w:rsid w:val="35EE40A0"/>
    <w:rsid w:val="36706CCC"/>
    <w:rsid w:val="36873BAC"/>
    <w:rsid w:val="37C877E9"/>
    <w:rsid w:val="37D73658"/>
    <w:rsid w:val="38EF7AD8"/>
    <w:rsid w:val="391179DE"/>
    <w:rsid w:val="391752D6"/>
    <w:rsid w:val="39CB28DD"/>
    <w:rsid w:val="3ABA294C"/>
    <w:rsid w:val="3AC26D8D"/>
    <w:rsid w:val="3AD60F72"/>
    <w:rsid w:val="3B181276"/>
    <w:rsid w:val="3BF177F6"/>
    <w:rsid w:val="3CA70864"/>
    <w:rsid w:val="3DD6679A"/>
    <w:rsid w:val="3E1672E6"/>
    <w:rsid w:val="3E1F211D"/>
    <w:rsid w:val="3E5533F0"/>
    <w:rsid w:val="3EB77C2B"/>
    <w:rsid w:val="3EE947C1"/>
    <w:rsid w:val="40453787"/>
    <w:rsid w:val="415F08D8"/>
    <w:rsid w:val="433B52D2"/>
    <w:rsid w:val="434010BE"/>
    <w:rsid w:val="43512B3E"/>
    <w:rsid w:val="43E2616B"/>
    <w:rsid w:val="44020591"/>
    <w:rsid w:val="4404698F"/>
    <w:rsid w:val="44A95196"/>
    <w:rsid w:val="44D51F86"/>
    <w:rsid w:val="44DC6F9E"/>
    <w:rsid w:val="44E2230F"/>
    <w:rsid w:val="44FA5404"/>
    <w:rsid w:val="4549266A"/>
    <w:rsid w:val="45DD6BEA"/>
    <w:rsid w:val="461B3DFB"/>
    <w:rsid w:val="463449F1"/>
    <w:rsid w:val="46E206AE"/>
    <w:rsid w:val="46F9107C"/>
    <w:rsid w:val="47A12944"/>
    <w:rsid w:val="48724017"/>
    <w:rsid w:val="488641E0"/>
    <w:rsid w:val="48A81481"/>
    <w:rsid w:val="48B51347"/>
    <w:rsid w:val="4A55216A"/>
    <w:rsid w:val="4AA8027E"/>
    <w:rsid w:val="4AAE000A"/>
    <w:rsid w:val="4BED5E07"/>
    <w:rsid w:val="4D43140C"/>
    <w:rsid w:val="4D4F4973"/>
    <w:rsid w:val="4ED137BE"/>
    <w:rsid w:val="4EE31744"/>
    <w:rsid w:val="4F7E7282"/>
    <w:rsid w:val="4FE0696A"/>
    <w:rsid w:val="505A5310"/>
    <w:rsid w:val="51FD19E1"/>
    <w:rsid w:val="52C0009F"/>
    <w:rsid w:val="537A2BFE"/>
    <w:rsid w:val="53933B5B"/>
    <w:rsid w:val="5408455A"/>
    <w:rsid w:val="54B70621"/>
    <w:rsid w:val="555808E9"/>
    <w:rsid w:val="55673508"/>
    <w:rsid w:val="55D05801"/>
    <w:rsid w:val="56725657"/>
    <w:rsid w:val="572B5492"/>
    <w:rsid w:val="58195F6E"/>
    <w:rsid w:val="58587667"/>
    <w:rsid w:val="59595A6F"/>
    <w:rsid w:val="599330CA"/>
    <w:rsid w:val="5A3A2B60"/>
    <w:rsid w:val="5A4C3EF6"/>
    <w:rsid w:val="5B0D23FC"/>
    <w:rsid w:val="5BB856CC"/>
    <w:rsid w:val="5C8F6A67"/>
    <w:rsid w:val="5D444098"/>
    <w:rsid w:val="5DB076C2"/>
    <w:rsid w:val="5E367F56"/>
    <w:rsid w:val="5EE51B13"/>
    <w:rsid w:val="5F4015DE"/>
    <w:rsid w:val="608D4B02"/>
    <w:rsid w:val="60D5009F"/>
    <w:rsid w:val="63DF1591"/>
    <w:rsid w:val="65D630D8"/>
    <w:rsid w:val="660721C9"/>
    <w:rsid w:val="661E6C75"/>
    <w:rsid w:val="66231D0E"/>
    <w:rsid w:val="67F75FF5"/>
    <w:rsid w:val="681D4831"/>
    <w:rsid w:val="692109E6"/>
    <w:rsid w:val="692E4B19"/>
    <w:rsid w:val="69513EF7"/>
    <w:rsid w:val="69BE2A6F"/>
    <w:rsid w:val="69EC374B"/>
    <w:rsid w:val="6BD16E02"/>
    <w:rsid w:val="6BF3256F"/>
    <w:rsid w:val="6CE7018A"/>
    <w:rsid w:val="6DC47D48"/>
    <w:rsid w:val="6E3E3F2D"/>
    <w:rsid w:val="715B2F02"/>
    <w:rsid w:val="7281713A"/>
    <w:rsid w:val="74292DBE"/>
    <w:rsid w:val="76436B85"/>
    <w:rsid w:val="76834D9A"/>
    <w:rsid w:val="76A548F2"/>
    <w:rsid w:val="7765772E"/>
    <w:rsid w:val="77867685"/>
    <w:rsid w:val="77F04540"/>
    <w:rsid w:val="781F36B6"/>
    <w:rsid w:val="78884001"/>
    <w:rsid w:val="790627AD"/>
    <w:rsid w:val="7A5069D3"/>
    <w:rsid w:val="7A70083D"/>
    <w:rsid w:val="7ADC59FA"/>
    <w:rsid w:val="7BB3305E"/>
    <w:rsid w:val="7BDC27DF"/>
    <w:rsid w:val="7C0D7572"/>
    <w:rsid w:val="7D156A68"/>
    <w:rsid w:val="7DDD794F"/>
    <w:rsid w:val="7E316F0A"/>
    <w:rsid w:val="7E9C7095"/>
    <w:rsid w:val="7ED54CA7"/>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5"/>
    <w:basedOn w:val="1"/>
    <w:next w:val="1"/>
    <w:qFormat/>
    <w:uiPriority w:val="0"/>
    <w:pPr>
      <w:keepNext/>
      <w:outlineLvl w:val="4"/>
    </w:pPr>
    <w:rPr>
      <w:rFonts w:ascii="宋体" w:hAnsi="宋体" w:cs="宋体"/>
      <w:b/>
      <w:bCs/>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4">
    <w:name w:val="Body Text Indent"/>
    <w:basedOn w:val="1"/>
    <w:qFormat/>
    <w:uiPriority w:val="0"/>
    <w:pPr>
      <w:spacing w:after="120"/>
      <w:ind w:left="200" w:leftChars="200"/>
    </w:pPr>
  </w:style>
  <w:style w:type="paragraph" w:styleId="5">
    <w:name w:val="Balloon Text"/>
    <w:basedOn w:val="1"/>
    <w:link w:val="16"/>
    <w:qFormat/>
    <w:uiPriority w:val="0"/>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Title"/>
    <w:basedOn w:val="1"/>
    <w:next w:val="1"/>
    <w:qFormat/>
    <w:uiPriority w:val="10"/>
    <w:pPr>
      <w:spacing w:line="360" w:lineRule="auto"/>
      <w:ind w:firstLine="200" w:firstLineChars="200"/>
      <w:jc w:val="left"/>
      <w:outlineLvl w:val="3"/>
    </w:pPr>
    <w:rPr>
      <w:rFonts w:ascii="Cambria" w:hAnsi="Cambria"/>
      <w:bCs/>
      <w:sz w:val="24"/>
      <w:szCs w:val="32"/>
    </w:rPr>
  </w:style>
  <w:style w:type="paragraph" w:styleId="10">
    <w:name w:val="Body Text First Indent 2"/>
    <w:basedOn w:val="4"/>
    <w:next w:val="1"/>
    <w:qFormat/>
    <w:uiPriority w:val="0"/>
    <w:pPr>
      <w:ind w:firstLine="200" w:firstLineChars="200"/>
    </w:pPr>
    <w:rPr>
      <w:szCs w:val="20"/>
    </w:rPr>
  </w:style>
  <w:style w:type="character" w:styleId="13">
    <w:name w:val="page number"/>
    <w:basedOn w:val="12"/>
    <w:qFormat/>
    <w:uiPriority w:val="0"/>
  </w:style>
  <w:style w:type="character" w:customStyle="1" w:styleId="14">
    <w:name w:val="页脚 字符"/>
    <w:basedOn w:val="12"/>
    <w:link w:val="6"/>
    <w:qFormat/>
    <w:uiPriority w:val="99"/>
    <w:rPr>
      <w:rFonts w:eastAsia="仿宋_GB2312"/>
      <w:kern w:val="2"/>
      <w:sz w:val="18"/>
      <w:szCs w:val="18"/>
    </w:rPr>
  </w:style>
  <w:style w:type="character" w:customStyle="1" w:styleId="15">
    <w:name w:val="页眉 字符"/>
    <w:basedOn w:val="12"/>
    <w:link w:val="7"/>
    <w:qFormat/>
    <w:uiPriority w:val="0"/>
    <w:rPr>
      <w:rFonts w:eastAsia="仿宋_GB2312"/>
      <w:kern w:val="2"/>
      <w:sz w:val="18"/>
      <w:szCs w:val="18"/>
    </w:rPr>
  </w:style>
  <w:style w:type="character" w:customStyle="1" w:styleId="16">
    <w:name w:val="批注框文本 字符"/>
    <w:basedOn w:val="12"/>
    <w:link w:val="5"/>
    <w:qFormat/>
    <w:uiPriority w:val="0"/>
    <w:rPr>
      <w:rFonts w:eastAsia="仿宋_GB2312"/>
      <w:kern w:val="2"/>
      <w:sz w:val="18"/>
      <w:szCs w:val="18"/>
    </w:rPr>
  </w:style>
  <w:style w:type="paragraph" w:styleId="17">
    <w:name w:val="List Paragraph"/>
    <w:basedOn w:val="1"/>
    <w:qFormat/>
    <w:uiPriority w:val="99"/>
    <w:pPr>
      <w:ind w:firstLine="420" w:firstLineChars="200"/>
    </w:pPr>
  </w:style>
  <w:style w:type="character" w:customStyle="1" w:styleId="18">
    <w:name w:val="font31"/>
    <w:basedOn w:val="12"/>
    <w:qFormat/>
    <w:uiPriority w:val="0"/>
    <w:rPr>
      <w:rFonts w:ascii="Wingdings" w:hAnsi="Wingdings" w:cs="Wingdings"/>
      <w:color w:val="000000"/>
      <w:sz w:val="20"/>
      <w:szCs w:val="20"/>
      <w:u w:val="none"/>
    </w:rPr>
  </w:style>
  <w:style w:type="character" w:customStyle="1" w:styleId="19">
    <w:name w:val="font21"/>
    <w:basedOn w:val="12"/>
    <w:qFormat/>
    <w:uiPriority w:val="0"/>
    <w:rPr>
      <w:rFonts w:hint="eastAsia" w:ascii="仿宋" w:hAnsi="仿宋" w:eastAsia="仿宋" w:cs="仿宋"/>
      <w:color w:val="000000"/>
      <w:sz w:val="20"/>
      <w:szCs w:val="20"/>
      <w:u w:val="none"/>
    </w:rPr>
  </w:style>
  <w:style w:type="character" w:customStyle="1" w:styleId="20">
    <w:name w:val="font51"/>
    <w:basedOn w:val="12"/>
    <w:qFormat/>
    <w:uiPriority w:val="0"/>
    <w:rPr>
      <w:rFonts w:hint="eastAsia" w:ascii="仿宋" w:hAnsi="仿宋" w:eastAsia="仿宋" w:cs="仿宋"/>
      <w:color w:val="FF0000"/>
      <w:sz w:val="20"/>
      <w:szCs w:val="20"/>
      <w:u w:val="none"/>
    </w:rPr>
  </w:style>
  <w:style w:type="character" w:customStyle="1" w:styleId="21">
    <w:name w:val="font91"/>
    <w:basedOn w:val="12"/>
    <w:qFormat/>
    <w:uiPriority w:val="0"/>
    <w:rPr>
      <w:rFonts w:ascii="Wingdings" w:hAnsi="Wingdings" w:cs="Wingdings"/>
      <w:color w:val="000000"/>
      <w:sz w:val="20"/>
      <w:szCs w:val="20"/>
      <w:u w:val="none"/>
    </w:rPr>
  </w:style>
  <w:style w:type="character" w:customStyle="1" w:styleId="22">
    <w:name w:val="font101"/>
    <w:basedOn w:val="12"/>
    <w:qFormat/>
    <w:uiPriority w:val="0"/>
    <w:rPr>
      <w:rFonts w:hint="eastAsia" w:ascii="仿宋" w:hAnsi="仿宋" w:eastAsia="仿宋" w:cs="仿宋"/>
      <w:color w:val="000000"/>
      <w:sz w:val="20"/>
      <w:szCs w:val="20"/>
      <w:u w:val="none"/>
    </w:rPr>
  </w:style>
  <w:style w:type="character" w:customStyle="1" w:styleId="23">
    <w:name w:val="font71"/>
    <w:basedOn w:val="12"/>
    <w:qFormat/>
    <w:uiPriority w:val="0"/>
    <w:rPr>
      <w:rFonts w:hint="eastAsia" w:ascii="仿宋" w:hAnsi="仿宋" w:eastAsia="仿宋" w:cs="仿宋"/>
      <w:color w:val="000000"/>
      <w:sz w:val="20"/>
      <w:szCs w:val="20"/>
      <w:u w:val="none"/>
    </w:rPr>
  </w:style>
  <w:style w:type="character" w:customStyle="1" w:styleId="24">
    <w:name w:val="font11"/>
    <w:basedOn w:val="12"/>
    <w:qFormat/>
    <w:uiPriority w:val="0"/>
    <w:rPr>
      <w:rFonts w:hint="eastAsia" w:ascii="仿宋" w:hAnsi="仿宋" w:eastAsia="仿宋" w:cs="仿宋"/>
      <w:color w:val="000000"/>
      <w:sz w:val="20"/>
      <w:szCs w:val="20"/>
      <w:u w:val="none"/>
    </w:rPr>
  </w:style>
  <w:style w:type="character" w:customStyle="1" w:styleId="25">
    <w:name w:val="font61"/>
    <w:basedOn w:val="12"/>
    <w:qFormat/>
    <w:uiPriority w:val="0"/>
    <w:rPr>
      <w:rFonts w:hint="eastAsia" w:ascii="仿宋" w:hAnsi="仿宋" w:eastAsia="仿宋" w:cs="仿宋"/>
      <w:color w:val="000000"/>
      <w:sz w:val="20"/>
      <w:szCs w:val="20"/>
      <w:u w:val="none"/>
    </w:rPr>
  </w:style>
  <w:style w:type="character" w:customStyle="1" w:styleId="26">
    <w:name w:val="font112"/>
    <w:basedOn w:val="12"/>
    <w:qFormat/>
    <w:uiPriority w:val="0"/>
    <w:rPr>
      <w:rFonts w:hint="eastAsia" w:ascii="仿宋" w:hAnsi="仿宋" w:eastAsia="仿宋" w:cs="仿宋"/>
      <w:color w:val="000000"/>
      <w:sz w:val="20"/>
      <w:szCs w:val="20"/>
      <w:u w:val="none"/>
    </w:rPr>
  </w:style>
  <w:style w:type="table" w:customStyle="1" w:styleId="27">
    <w:name w:val="Table Normal"/>
    <w:semiHidden/>
    <w:unhideWhenUsed/>
    <w:qFormat/>
    <w:uiPriority w:val="0"/>
    <w:tblPr>
      <w:tblCellMar>
        <w:top w:w="0" w:type="dxa"/>
        <w:left w:w="0" w:type="dxa"/>
        <w:bottom w:w="0" w:type="dxa"/>
        <w:right w:w="0" w:type="dxa"/>
      </w:tblCellMar>
    </w:tblPr>
  </w:style>
  <w:style w:type="character" w:customStyle="1" w:styleId="28">
    <w:name w:val="font41"/>
    <w:basedOn w:val="12"/>
    <w:uiPriority w:val="0"/>
    <w:rPr>
      <w:rFonts w:hint="eastAsia" w:ascii="仿宋" w:hAnsi="仿宋" w:eastAsia="仿宋" w:cs="仿宋"/>
      <w:color w:val="000000"/>
      <w:sz w:val="20"/>
      <w:szCs w:val="20"/>
      <w:u w:val="none"/>
    </w:rPr>
  </w:style>
  <w:style w:type="character" w:customStyle="1" w:styleId="29">
    <w:name w:val="font121"/>
    <w:basedOn w:val="12"/>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5613</Words>
  <Characters>6044</Characters>
  <Lines>6</Lines>
  <Paragraphs>10</Paragraphs>
  <TotalTime>17</TotalTime>
  <ScaleCrop>false</ScaleCrop>
  <LinksUpToDate>false</LinksUpToDate>
  <CharactersWithSpaces>6341</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2021-02-26T14:13:00Z</dcterms:created>
  <dc:creator>lhn</dc:creator>
  <cp:lastModifiedBy>长了毛的面包</cp:lastModifiedBy>
  <cp:lastPrinted>2020-12-04T01:52:00Z</cp:lastPrinted>
  <dcterms:modified xsi:type="dcterms:W3CDTF">2023-04-26T07:04:26Z</dcterms:modified>
  <dc:title>财政支出绩效评价报告</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A1C6F6DCA77E46D4BF05062161E5DD11</vt:lpwstr>
  </property>
</Properties>
</file>